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B80A1B">
      <w:pPr>
        <w:pStyle w:val="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rPr>
          <w:rFonts w:hint="default"/>
          <w:sz w:val="28"/>
          <w:szCs w:val="24"/>
          <w:highlight w:val="none"/>
          <w:lang w:val="en-US" w:eastAsia="zh-CN" w:bidi="zh-CN"/>
        </w:rPr>
      </w:pPr>
      <w:bookmarkStart w:id="0" w:name="_GoBack"/>
      <w:r>
        <w:rPr>
          <w:rFonts w:hint="eastAsia"/>
          <w:sz w:val="28"/>
          <w:szCs w:val="24"/>
          <w:highlight w:val="none"/>
          <w:lang w:val="en-US" w:eastAsia="zh-CN" w:bidi="zh-CN"/>
        </w:rPr>
        <w:t>附件2</w:t>
      </w:r>
    </w:p>
    <w:bookmarkEnd w:id="0"/>
    <w:p w14:paraId="31F346A1">
      <w:pPr>
        <w:spacing w:line="460" w:lineRule="exact"/>
        <w:jc w:val="center"/>
        <w:rPr>
          <w:rFonts w:eastAsia="宋体"/>
          <w:b/>
          <w:color w:val="auto"/>
          <w:sz w:val="40"/>
          <w:lang w:val="en-US" w:eastAsia="zh-CN"/>
        </w:rPr>
      </w:pPr>
      <w:r>
        <w:rPr>
          <w:rFonts w:hint="eastAsia"/>
          <w:b/>
          <w:color w:val="auto"/>
          <w:sz w:val="40"/>
          <w:lang w:val="en-US" w:eastAsia="zh-CN"/>
        </w:rPr>
        <w:t>报废资产回收合同</w:t>
      </w:r>
    </w:p>
    <w:p w14:paraId="3D0F0512">
      <w:pPr>
        <w:tabs>
          <w:tab w:val="left" w:pos="3060"/>
        </w:tabs>
        <w:spacing w:line="460" w:lineRule="exact"/>
        <w:jc w:val="center"/>
        <w:rPr>
          <w:color w:val="auto"/>
          <w:sz w:val="28"/>
        </w:rPr>
      </w:pPr>
    </w:p>
    <w:p w14:paraId="3138EA2C">
      <w:pPr>
        <w:spacing w:line="460" w:lineRule="exact"/>
        <w:rPr>
          <w:rFonts w:hint="default" w:eastAsia="宋体"/>
          <w:b/>
          <w:color w:val="auto"/>
          <w:sz w:val="28"/>
          <w:szCs w:val="21"/>
          <w:lang w:val="en-US" w:eastAsia="zh-CN"/>
        </w:rPr>
      </w:pPr>
      <w:r>
        <w:rPr>
          <w:rFonts w:hint="eastAsia"/>
          <w:b/>
          <w:color w:val="auto"/>
          <w:sz w:val="28"/>
          <w:szCs w:val="21"/>
        </w:rPr>
        <w:t>甲方：东至大渡口</w:t>
      </w:r>
      <w:r>
        <w:rPr>
          <w:rFonts w:hint="eastAsia"/>
          <w:b/>
          <w:color w:val="auto"/>
          <w:sz w:val="28"/>
          <w:szCs w:val="21"/>
          <w:lang w:val="en-US" w:eastAsia="zh-CN"/>
        </w:rPr>
        <w:t>产业发展</w:t>
      </w:r>
      <w:r>
        <w:rPr>
          <w:rFonts w:hint="eastAsia"/>
          <w:b/>
          <w:color w:val="auto"/>
          <w:sz w:val="28"/>
          <w:szCs w:val="21"/>
        </w:rPr>
        <w:t>有限</w:t>
      </w:r>
      <w:r>
        <w:rPr>
          <w:rFonts w:hint="eastAsia"/>
          <w:b/>
          <w:color w:val="auto"/>
          <w:sz w:val="28"/>
          <w:szCs w:val="21"/>
          <w:lang w:val="en-US" w:eastAsia="zh-CN"/>
        </w:rPr>
        <w:t>责任</w:t>
      </w:r>
      <w:r>
        <w:rPr>
          <w:rFonts w:hint="eastAsia"/>
          <w:b/>
          <w:color w:val="auto"/>
          <w:sz w:val="28"/>
          <w:szCs w:val="21"/>
        </w:rPr>
        <w:t>公司</w:t>
      </w:r>
      <w:r>
        <w:rPr>
          <w:rFonts w:hint="eastAsia"/>
          <w:b/>
          <w:color w:val="auto"/>
          <w:sz w:val="28"/>
          <w:szCs w:val="21"/>
          <w:lang w:val="en-US" w:eastAsia="zh-CN"/>
        </w:rPr>
        <w:t>（以下简称“甲方”）</w:t>
      </w:r>
    </w:p>
    <w:p w14:paraId="42643273">
      <w:pPr>
        <w:spacing w:line="460" w:lineRule="exact"/>
        <w:rPr>
          <w:rFonts w:hint="default" w:eastAsia="宋体"/>
          <w:b/>
          <w:color w:val="auto"/>
          <w:sz w:val="28"/>
          <w:szCs w:val="21"/>
          <w:lang w:val="en-US" w:eastAsia="zh-CN"/>
        </w:rPr>
      </w:pPr>
      <w:r>
        <w:rPr>
          <w:rFonts w:hint="eastAsia"/>
          <w:b/>
          <w:color w:val="auto"/>
          <w:sz w:val="28"/>
          <w:szCs w:val="21"/>
        </w:rPr>
        <w:t>乙方：</w:t>
      </w:r>
      <w:r>
        <w:rPr>
          <w:rFonts w:hint="eastAsia"/>
          <w:b/>
          <w:color w:val="auto"/>
          <w:sz w:val="28"/>
          <w:szCs w:val="21"/>
          <w:lang w:val="en-US" w:eastAsia="zh-CN"/>
        </w:rPr>
        <w:t xml:space="preserve">                             （以下简称“乙方”）</w:t>
      </w:r>
    </w:p>
    <w:p w14:paraId="4BCCF83C">
      <w:pPr>
        <w:spacing w:line="460" w:lineRule="exact"/>
        <w:rPr>
          <w:b/>
          <w:color w:val="auto"/>
          <w:sz w:val="28"/>
          <w:szCs w:val="21"/>
        </w:rPr>
      </w:pPr>
    </w:p>
    <w:p w14:paraId="5DA201BB">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宋体"/>
          <w:bCs/>
          <w:color w:val="auto"/>
          <w:sz w:val="24"/>
        </w:rPr>
      </w:pPr>
      <w:r>
        <w:rPr>
          <w:rFonts w:hint="eastAsia" w:ascii="宋体"/>
          <w:bCs/>
          <w:color w:val="auto"/>
          <w:sz w:val="24"/>
          <w:lang w:val="en-US" w:eastAsia="zh-CN"/>
        </w:rPr>
        <w:t>依据</w:t>
      </w:r>
      <w:r>
        <w:rPr>
          <w:rFonts w:hint="eastAsia" w:ascii="宋体"/>
          <w:bCs/>
          <w:color w:val="auto"/>
          <w:sz w:val="24"/>
          <w:lang w:eastAsia="zh-CN"/>
        </w:rPr>
        <w:t>《</w:t>
      </w:r>
      <w:r>
        <w:rPr>
          <w:rFonts w:hint="eastAsia" w:ascii="宋体"/>
          <w:bCs/>
          <w:color w:val="auto"/>
          <w:sz w:val="24"/>
          <w:lang w:val="en-US" w:eastAsia="zh-CN"/>
        </w:rPr>
        <w:t>东至大渡口产业发展有限责任公司报废资产公开处置公告</w:t>
      </w:r>
      <w:r>
        <w:rPr>
          <w:rFonts w:hint="eastAsia" w:ascii="宋体"/>
          <w:bCs/>
          <w:color w:val="auto"/>
          <w:sz w:val="24"/>
          <w:lang w:eastAsia="zh-CN"/>
        </w:rPr>
        <w:t>》，</w:t>
      </w:r>
      <w:r>
        <w:rPr>
          <w:rFonts w:hint="eastAsia" w:ascii="宋体"/>
          <w:bCs/>
          <w:color w:val="auto"/>
          <w:sz w:val="24"/>
          <w:lang w:val="en-US" w:eastAsia="zh-CN"/>
        </w:rPr>
        <w:t>乙方在勘探现场、充分了解标的物后自愿参与了甲方组织的</w:t>
      </w:r>
      <w:r>
        <w:rPr>
          <w:rFonts w:hint="eastAsia" w:ascii="宋体"/>
          <w:bCs/>
          <w:color w:val="auto"/>
          <w:sz w:val="24"/>
          <w:lang w:eastAsia="zh-CN"/>
        </w:rPr>
        <w:t>报废资产公开处置</w:t>
      </w:r>
      <w:r>
        <w:rPr>
          <w:rFonts w:hint="eastAsia" w:ascii="宋体"/>
          <w:bCs/>
          <w:color w:val="auto"/>
          <w:sz w:val="24"/>
          <w:lang w:val="en-US" w:eastAsia="zh-CN"/>
        </w:rPr>
        <w:t>投标报价，被评标小组确定为第一中标候选单位（最高报价单位）。</w:t>
      </w:r>
      <w:r>
        <w:rPr>
          <w:rFonts w:hint="eastAsia" w:ascii="宋体"/>
          <w:bCs/>
          <w:color w:val="auto"/>
          <w:sz w:val="24"/>
        </w:rPr>
        <w:t>根据《中华人民共和国</w:t>
      </w:r>
      <w:r>
        <w:rPr>
          <w:rFonts w:hint="eastAsia" w:ascii="宋体"/>
          <w:bCs/>
          <w:color w:val="auto"/>
          <w:sz w:val="24"/>
          <w:lang w:val="en-US" w:eastAsia="zh-CN"/>
        </w:rPr>
        <w:t>民法典</w:t>
      </w:r>
      <w:r>
        <w:rPr>
          <w:rFonts w:hint="eastAsia" w:ascii="宋体"/>
          <w:bCs/>
          <w:color w:val="auto"/>
          <w:sz w:val="24"/>
        </w:rPr>
        <w:t>》</w:t>
      </w:r>
      <w:r>
        <w:rPr>
          <w:rFonts w:hint="eastAsia" w:ascii="宋体"/>
          <w:bCs/>
          <w:color w:val="auto"/>
          <w:sz w:val="24"/>
          <w:lang w:val="en-US" w:eastAsia="zh-CN"/>
        </w:rPr>
        <w:t>等法律法规</w:t>
      </w:r>
      <w:r>
        <w:rPr>
          <w:rFonts w:hint="eastAsia" w:ascii="宋体"/>
          <w:bCs/>
          <w:color w:val="auto"/>
          <w:sz w:val="24"/>
          <w:lang w:eastAsia="zh-CN"/>
        </w:rPr>
        <w:t>，</w:t>
      </w:r>
      <w:r>
        <w:rPr>
          <w:rFonts w:hint="eastAsia" w:ascii="宋体"/>
          <w:bCs/>
          <w:color w:val="auto"/>
          <w:sz w:val="24"/>
        </w:rPr>
        <w:t>为明确甲乙双方的权利义务，双方本着平等自愿、互惠互利的原则，经协商一致，签订本合同。</w:t>
      </w:r>
    </w:p>
    <w:p w14:paraId="34B5065A">
      <w:pPr>
        <w:keepNext w:val="0"/>
        <w:keepLines w:val="0"/>
        <w:pageBreakBefore w:val="0"/>
        <w:widowControl w:val="0"/>
        <w:kinsoku/>
        <w:wordWrap/>
        <w:overflowPunct/>
        <w:topLinePunct w:val="0"/>
        <w:autoSpaceDE/>
        <w:autoSpaceDN/>
        <w:bidi w:val="0"/>
        <w:spacing w:line="360" w:lineRule="auto"/>
        <w:ind w:firstLine="482" w:firstLineChars="200"/>
        <w:textAlignment w:val="auto"/>
        <w:rPr>
          <w:rFonts w:ascii="宋体"/>
          <w:b/>
          <w:bCs/>
          <w:color w:val="auto"/>
          <w:sz w:val="24"/>
        </w:rPr>
      </w:pPr>
      <w:r>
        <w:rPr>
          <w:rFonts w:hint="eastAsia" w:ascii="宋体"/>
          <w:b/>
          <w:bCs/>
          <w:color w:val="auto"/>
          <w:sz w:val="24"/>
        </w:rPr>
        <w:t>第一条、</w:t>
      </w:r>
      <w:r>
        <w:rPr>
          <w:rFonts w:hint="eastAsia" w:ascii="宋体"/>
          <w:b/>
          <w:bCs/>
          <w:color w:val="auto"/>
          <w:sz w:val="24"/>
          <w:lang w:val="en-US" w:eastAsia="zh-CN"/>
        </w:rPr>
        <w:t>报废资产</w:t>
      </w:r>
      <w:r>
        <w:rPr>
          <w:rFonts w:hint="eastAsia" w:ascii="宋体"/>
          <w:b/>
          <w:bCs/>
          <w:color w:val="auto"/>
          <w:sz w:val="24"/>
        </w:rPr>
        <w:t>名称、</w:t>
      </w:r>
      <w:r>
        <w:rPr>
          <w:rFonts w:hint="eastAsia" w:ascii="宋体"/>
          <w:b/>
          <w:bCs/>
          <w:color w:val="auto"/>
          <w:sz w:val="24"/>
          <w:lang w:val="en-US" w:eastAsia="zh-CN"/>
        </w:rPr>
        <w:t>特征、</w:t>
      </w:r>
      <w:r>
        <w:rPr>
          <w:rFonts w:hint="eastAsia" w:ascii="宋体"/>
          <w:b/>
          <w:bCs/>
          <w:color w:val="auto"/>
          <w:sz w:val="24"/>
        </w:rPr>
        <w:t>数量</w:t>
      </w:r>
    </w:p>
    <w:tbl>
      <w:tblPr>
        <w:tblStyle w:val="15"/>
        <w:tblW w:w="805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4"/>
        <w:gridCol w:w="889"/>
        <w:gridCol w:w="1371"/>
        <w:gridCol w:w="525"/>
        <w:gridCol w:w="525"/>
        <w:gridCol w:w="1500"/>
        <w:gridCol w:w="750"/>
        <w:gridCol w:w="654"/>
        <w:gridCol w:w="728"/>
        <w:gridCol w:w="553"/>
      </w:tblGrid>
      <w:tr w14:paraId="24FB3B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jc w:val="center"/>
        </w:trPr>
        <w:tc>
          <w:tcPr>
            <w:tcW w:w="564" w:type="dxa"/>
            <w:vAlign w:val="top"/>
          </w:tcPr>
          <w:p w14:paraId="14A7F0C4">
            <w:pPr>
              <w:pStyle w:val="14"/>
              <w:spacing w:before="172" w:line="221" w:lineRule="auto"/>
              <w:ind w:left="115"/>
              <w:rPr>
                <w:sz w:val="16"/>
                <w:szCs w:val="16"/>
              </w:rPr>
            </w:pPr>
            <w:r>
              <w:rPr>
                <w:spacing w:val="-2"/>
                <w:sz w:val="16"/>
                <w:szCs w:val="16"/>
              </w:rPr>
              <w:t>序号</w:t>
            </w:r>
          </w:p>
        </w:tc>
        <w:tc>
          <w:tcPr>
            <w:tcW w:w="889" w:type="dxa"/>
            <w:vAlign w:val="top"/>
          </w:tcPr>
          <w:p w14:paraId="6DF2050C">
            <w:pPr>
              <w:pStyle w:val="14"/>
              <w:spacing w:before="173" w:line="221" w:lineRule="auto"/>
              <w:ind w:left="211"/>
              <w:rPr>
                <w:sz w:val="16"/>
                <w:szCs w:val="16"/>
              </w:rPr>
            </w:pPr>
            <w:r>
              <w:rPr>
                <w:spacing w:val="-3"/>
                <w:sz w:val="16"/>
                <w:szCs w:val="16"/>
              </w:rPr>
              <w:t>名称</w:t>
            </w:r>
          </w:p>
        </w:tc>
        <w:tc>
          <w:tcPr>
            <w:tcW w:w="1371" w:type="dxa"/>
            <w:vAlign w:val="top"/>
          </w:tcPr>
          <w:p w14:paraId="6E09848C">
            <w:pPr>
              <w:pStyle w:val="14"/>
              <w:spacing w:before="171" w:line="219" w:lineRule="auto"/>
              <w:ind w:left="191"/>
              <w:rPr>
                <w:sz w:val="16"/>
                <w:szCs w:val="16"/>
              </w:rPr>
            </w:pPr>
            <w:r>
              <w:rPr>
                <w:spacing w:val="-2"/>
                <w:sz w:val="16"/>
                <w:szCs w:val="16"/>
              </w:rPr>
              <w:t>规格型号</w:t>
            </w:r>
          </w:p>
        </w:tc>
        <w:tc>
          <w:tcPr>
            <w:tcW w:w="525" w:type="dxa"/>
            <w:vAlign w:val="top"/>
          </w:tcPr>
          <w:p w14:paraId="1FB110D1">
            <w:pPr>
              <w:pStyle w:val="14"/>
              <w:spacing w:before="33" w:line="259" w:lineRule="auto"/>
              <w:ind w:left="72" w:right="93"/>
              <w:rPr>
                <w:sz w:val="16"/>
                <w:szCs w:val="16"/>
              </w:rPr>
            </w:pPr>
            <w:r>
              <w:rPr>
                <w:spacing w:val="-4"/>
                <w:sz w:val="16"/>
                <w:szCs w:val="16"/>
              </w:rPr>
              <w:t>计量单位</w:t>
            </w:r>
          </w:p>
        </w:tc>
        <w:tc>
          <w:tcPr>
            <w:tcW w:w="525" w:type="dxa"/>
            <w:textDirection w:val="tbRlV"/>
            <w:vAlign w:val="center"/>
          </w:tcPr>
          <w:p w14:paraId="44BEE9C6">
            <w:pPr>
              <w:pStyle w:val="14"/>
              <w:spacing w:before="152" w:line="201" w:lineRule="auto"/>
              <w:ind w:left="17"/>
              <w:jc w:val="center"/>
              <w:rPr>
                <w:sz w:val="16"/>
                <w:szCs w:val="16"/>
              </w:rPr>
            </w:pPr>
            <w:r>
              <w:rPr>
                <w:sz w:val="16"/>
                <w:szCs w:val="16"/>
              </w:rPr>
              <w:t>数量</w:t>
            </w:r>
          </w:p>
        </w:tc>
        <w:tc>
          <w:tcPr>
            <w:tcW w:w="1500" w:type="dxa"/>
            <w:vAlign w:val="top"/>
          </w:tcPr>
          <w:p w14:paraId="2FE0812B">
            <w:pPr>
              <w:pStyle w:val="14"/>
              <w:spacing w:before="170" w:line="219" w:lineRule="auto"/>
              <w:ind w:left="283"/>
              <w:rPr>
                <w:sz w:val="16"/>
                <w:szCs w:val="16"/>
              </w:rPr>
            </w:pPr>
            <w:r>
              <w:rPr>
                <w:spacing w:val="3"/>
                <w:sz w:val="16"/>
                <w:szCs w:val="16"/>
              </w:rPr>
              <w:t>分布地点</w:t>
            </w:r>
          </w:p>
        </w:tc>
        <w:tc>
          <w:tcPr>
            <w:tcW w:w="750" w:type="dxa"/>
            <w:vAlign w:val="top"/>
          </w:tcPr>
          <w:p w14:paraId="00ADBF74">
            <w:pPr>
              <w:pStyle w:val="14"/>
              <w:spacing w:before="53" w:line="247" w:lineRule="auto"/>
              <w:ind w:left="146" w:right="149"/>
              <w:jc w:val="center"/>
              <w:rPr>
                <w:rFonts w:hint="default" w:eastAsia="宋体"/>
                <w:sz w:val="16"/>
                <w:szCs w:val="16"/>
                <w:lang w:val="en-US" w:eastAsia="zh-CN"/>
              </w:rPr>
            </w:pPr>
            <w:r>
              <w:rPr>
                <w:rFonts w:hint="eastAsia"/>
                <w:spacing w:val="-4"/>
                <w:sz w:val="16"/>
                <w:szCs w:val="16"/>
                <w:lang w:val="en-US" w:eastAsia="zh-CN"/>
              </w:rPr>
              <w:t>主要材料</w:t>
            </w:r>
          </w:p>
        </w:tc>
        <w:tc>
          <w:tcPr>
            <w:tcW w:w="654" w:type="dxa"/>
            <w:vAlign w:val="top"/>
          </w:tcPr>
          <w:p w14:paraId="5FC0F7D6">
            <w:pPr>
              <w:pStyle w:val="14"/>
              <w:spacing w:before="31" w:line="260" w:lineRule="auto"/>
              <w:ind w:left="117" w:right="102"/>
              <w:jc w:val="center"/>
              <w:rPr>
                <w:sz w:val="16"/>
                <w:szCs w:val="16"/>
              </w:rPr>
            </w:pPr>
            <w:r>
              <w:rPr>
                <w:spacing w:val="9"/>
                <w:sz w:val="16"/>
                <w:szCs w:val="16"/>
              </w:rPr>
              <w:t>使用</w:t>
            </w:r>
          </w:p>
          <w:p w14:paraId="533FA348">
            <w:pPr>
              <w:pStyle w:val="14"/>
              <w:spacing w:before="31" w:line="260" w:lineRule="auto"/>
              <w:ind w:left="117" w:right="102"/>
              <w:jc w:val="center"/>
              <w:rPr>
                <w:sz w:val="16"/>
                <w:szCs w:val="16"/>
              </w:rPr>
            </w:pPr>
            <w:r>
              <w:rPr>
                <w:spacing w:val="-2"/>
                <w:sz w:val="16"/>
                <w:szCs w:val="16"/>
              </w:rPr>
              <w:t>状态</w:t>
            </w:r>
          </w:p>
        </w:tc>
        <w:tc>
          <w:tcPr>
            <w:tcW w:w="728" w:type="dxa"/>
            <w:vAlign w:val="top"/>
          </w:tcPr>
          <w:p w14:paraId="686B53CD">
            <w:pPr>
              <w:pStyle w:val="14"/>
              <w:spacing w:before="171" w:line="220" w:lineRule="auto"/>
              <w:ind w:left="188"/>
              <w:rPr>
                <w:sz w:val="16"/>
                <w:szCs w:val="16"/>
              </w:rPr>
            </w:pPr>
            <w:r>
              <w:rPr>
                <w:spacing w:val="-3"/>
                <w:sz w:val="16"/>
                <w:szCs w:val="16"/>
              </w:rPr>
              <w:t>总质量</w:t>
            </w:r>
          </w:p>
        </w:tc>
        <w:tc>
          <w:tcPr>
            <w:tcW w:w="553" w:type="dxa"/>
            <w:vAlign w:val="top"/>
          </w:tcPr>
          <w:p w14:paraId="62B93D25">
            <w:pPr>
              <w:pStyle w:val="14"/>
              <w:spacing w:before="172" w:line="221" w:lineRule="auto"/>
              <w:ind w:left="79"/>
              <w:rPr>
                <w:sz w:val="16"/>
                <w:szCs w:val="16"/>
              </w:rPr>
            </w:pPr>
            <w:r>
              <w:rPr>
                <w:spacing w:val="-3"/>
                <w:sz w:val="16"/>
                <w:szCs w:val="16"/>
              </w:rPr>
              <w:t>备注</w:t>
            </w:r>
          </w:p>
        </w:tc>
      </w:tr>
      <w:tr w14:paraId="094099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jc w:val="center"/>
        </w:trPr>
        <w:tc>
          <w:tcPr>
            <w:tcW w:w="564" w:type="dxa"/>
            <w:vAlign w:val="center"/>
          </w:tcPr>
          <w:p w14:paraId="47C3089E">
            <w:pPr>
              <w:pStyle w:val="14"/>
              <w:spacing w:before="52" w:line="184" w:lineRule="auto"/>
              <w:ind w:left="235"/>
              <w:jc w:val="center"/>
              <w:rPr>
                <w:sz w:val="16"/>
                <w:szCs w:val="16"/>
              </w:rPr>
            </w:pPr>
            <w:r>
              <w:rPr>
                <w:sz w:val="16"/>
                <w:szCs w:val="16"/>
              </w:rPr>
              <w:t>1</w:t>
            </w:r>
          </w:p>
        </w:tc>
        <w:tc>
          <w:tcPr>
            <w:tcW w:w="889" w:type="dxa"/>
            <w:vAlign w:val="center"/>
          </w:tcPr>
          <w:p w14:paraId="762C75FA">
            <w:pPr>
              <w:pStyle w:val="14"/>
              <w:spacing w:before="289" w:line="219" w:lineRule="auto"/>
              <w:ind w:left="131"/>
              <w:jc w:val="center"/>
              <w:rPr>
                <w:sz w:val="16"/>
                <w:szCs w:val="16"/>
              </w:rPr>
            </w:pPr>
            <w:r>
              <w:rPr>
                <w:spacing w:val="-2"/>
                <w:sz w:val="16"/>
                <w:szCs w:val="16"/>
              </w:rPr>
              <w:t>行车梁</w:t>
            </w:r>
          </w:p>
        </w:tc>
        <w:tc>
          <w:tcPr>
            <w:tcW w:w="1371" w:type="dxa"/>
            <w:vAlign w:val="center"/>
          </w:tcPr>
          <w:p w14:paraId="249A33AE">
            <w:pPr>
              <w:pStyle w:val="14"/>
              <w:spacing w:before="180" w:line="274" w:lineRule="auto"/>
              <w:ind w:left="254" w:hanging="242"/>
              <w:jc w:val="center"/>
              <w:rPr>
                <w:rFonts w:hint="eastAsia"/>
                <w:spacing w:val="3"/>
                <w:sz w:val="16"/>
                <w:szCs w:val="16"/>
                <w:lang w:eastAsia="zh-CN"/>
              </w:rPr>
            </w:pPr>
            <w:r>
              <w:rPr>
                <w:spacing w:val="-2"/>
                <w:sz w:val="16"/>
                <w:szCs w:val="16"/>
              </w:rPr>
              <w:t>长12M、宽IM</w:t>
            </w:r>
            <w:r>
              <w:rPr>
                <w:rFonts w:hint="eastAsia"/>
                <w:spacing w:val="3"/>
                <w:sz w:val="16"/>
                <w:szCs w:val="16"/>
                <w:lang w:eastAsia="zh-CN"/>
              </w:rPr>
              <w:t>、</w:t>
            </w:r>
          </w:p>
          <w:p w14:paraId="29020018">
            <w:pPr>
              <w:pStyle w:val="14"/>
              <w:spacing w:before="180" w:line="274" w:lineRule="auto"/>
              <w:ind w:left="254" w:hanging="242"/>
              <w:jc w:val="center"/>
              <w:rPr>
                <w:sz w:val="16"/>
                <w:szCs w:val="16"/>
              </w:rPr>
            </w:pPr>
            <w:r>
              <w:rPr>
                <w:spacing w:val="-7"/>
                <w:sz w:val="16"/>
                <w:szCs w:val="16"/>
              </w:rPr>
              <w:t>高0.7M</w:t>
            </w:r>
          </w:p>
        </w:tc>
        <w:tc>
          <w:tcPr>
            <w:tcW w:w="525" w:type="dxa"/>
            <w:vAlign w:val="center"/>
          </w:tcPr>
          <w:p w14:paraId="7ED1EACC">
            <w:pPr>
              <w:pStyle w:val="14"/>
              <w:spacing w:before="289" w:line="220" w:lineRule="auto"/>
              <w:jc w:val="center"/>
              <w:rPr>
                <w:sz w:val="16"/>
                <w:szCs w:val="16"/>
              </w:rPr>
            </w:pPr>
            <w:r>
              <w:rPr>
                <w:sz w:val="16"/>
                <w:szCs w:val="16"/>
              </w:rPr>
              <w:t>根</w:t>
            </w:r>
          </w:p>
        </w:tc>
        <w:tc>
          <w:tcPr>
            <w:tcW w:w="525" w:type="dxa"/>
            <w:vAlign w:val="center"/>
          </w:tcPr>
          <w:p w14:paraId="3284424E">
            <w:pPr>
              <w:pStyle w:val="14"/>
              <w:spacing w:before="52" w:line="183" w:lineRule="auto"/>
              <w:ind w:left="142"/>
              <w:jc w:val="left"/>
              <w:rPr>
                <w:rFonts w:hint="eastAsia" w:eastAsia="宋体"/>
                <w:sz w:val="16"/>
                <w:szCs w:val="16"/>
                <w:lang w:eastAsia="zh-CN"/>
              </w:rPr>
            </w:pPr>
            <w:r>
              <w:rPr>
                <w:spacing w:val="-2"/>
                <w:sz w:val="16"/>
                <w:szCs w:val="16"/>
              </w:rPr>
              <w:t>4</w:t>
            </w:r>
            <w:r>
              <w:rPr>
                <w:rFonts w:hint="eastAsia"/>
                <w:spacing w:val="-2"/>
                <w:sz w:val="16"/>
                <w:szCs w:val="16"/>
                <w:lang w:val="en-US" w:eastAsia="zh-CN"/>
              </w:rPr>
              <w:t>9</w:t>
            </w:r>
          </w:p>
        </w:tc>
        <w:tc>
          <w:tcPr>
            <w:tcW w:w="1500" w:type="dxa"/>
            <w:vAlign w:val="center"/>
          </w:tcPr>
          <w:p w14:paraId="2969D603">
            <w:pPr>
              <w:pStyle w:val="14"/>
              <w:spacing w:before="59" w:line="219" w:lineRule="auto"/>
              <w:ind w:left="44"/>
              <w:jc w:val="center"/>
              <w:rPr>
                <w:sz w:val="16"/>
                <w:szCs w:val="16"/>
              </w:rPr>
            </w:pPr>
            <w:r>
              <w:rPr>
                <w:spacing w:val="-2"/>
                <w:sz w:val="16"/>
                <w:szCs w:val="16"/>
              </w:rPr>
              <w:t>安徽安东国瑞集</w:t>
            </w:r>
          </w:p>
          <w:p w14:paraId="3DBCD5AD">
            <w:pPr>
              <w:pStyle w:val="14"/>
              <w:spacing w:before="49" w:line="219" w:lineRule="auto"/>
              <w:ind w:left="44"/>
              <w:jc w:val="center"/>
              <w:rPr>
                <w:sz w:val="16"/>
                <w:szCs w:val="16"/>
              </w:rPr>
            </w:pPr>
            <w:r>
              <w:rPr>
                <w:spacing w:val="-1"/>
                <w:sz w:val="16"/>
                <w:szCs w:val="16"/>
              </w:rPr>
              <w:t>成建筑科技有限</w:t>
            </w:r>
          </w:p>
          <w:p w14:paraId="7C51E67B">
            <w:pPr>
              <w:pStyle w:val="14"/>
              <w:spacing w:before="50" w:line="203" w:lineRule="auto"/>
              <w:ind w:left="364"/>
              <w:jc w:val="center"/>
              <w:rPr>
                <w:sz w:val="16"/>
                <w:szCs w:val="16"/>
              </w:rPr>
            </w:pPr>
            <w:r>
              <w:rPr>
                <w:spacing w:val="7"/>
                <w:sz w:val="16"/>
                <w:szCs w:val="16"/>
              </w:rPr>
              <w:t>公司内</w:t>
            </w:r>
          </w:p>
        </w:tc>
        <w:tc>
          <w:tcPr>
            <w:tcW w:w="750" w:type="dxa"/>
            <w:vAlign w:val="center"/>
          </w:tcPr>
          <w:p w14:paraId="241EC929">
            <w:pPr>
              <w:pStyle w:val="14"/>
              <w:spacing w:before="290" w:line="221" w:lineRule="auto"/>
              <w:jc w:val="center"/>
              <w:rPr>
                <w:sz w:val="16"/>
                <w:szCs w:val="16"/>
              </w:rPr>
            </w:pPr>
            <w:r>
              <w:rPr>
                <w:sz w:val="16"/>
                <w:szCs w:val="16"/>
              </w:rPr>
              <w:t>铁</w:t>
            </w:r>
          </w:p>
        </w:tc>
        <w:tc>
          <w:tcPr>
            <w:tcW w:w="654" w:type="dxa"/>
            <w:vAlign w:val="center"/>
          </w:tcPr>
          <w:p w14:paraId="66F94EFB">
            <w:pPr>
              <w:pStyle w:val="14"/>
              <w:spacing w:before="289" w:line="219" w:lineRule="auto"/>
              <w:jc w:val="center"/>
              <w:rPr>
                <w:sz w:val="16"/>
                <w:szCs w:val="16"/>
              </w:rPr>
            </w:pPr>
            <w:r>
              <w:rPr>
                <w:spacing w:val="-2"/>
                <w:sz w:val="16"/>
                <w:szCs w:val="16"/>
              </w:rPr>
              <w:t>报废</w:t>
            </w:r>
          </w:p>
        </w:tc>
        <w:tc>
          <w:tcPr>
            <w:tcW w:w="728" w:type="dxa"/>
            <w:vAlign w:val="center"/>
          </w:tcPr>
          <w:p w14:paraId="0506BD6C">
            <w:pPr>
              <w:pStyle w:val="14"/>
              <w:spacing w:before="52" w:line="224" w:lineRule="auto"/>
              <w:jc w:val="center"/>
              <w:rPr>
                <w:sz w:val="16"/>
                <w:szCs w:val="16"/>
              </w:rPr>
            </w:pPr>
            <w:r>
              <w:rPr>
                <w:spacing w:val="-2"/>
                <w:sz w:val="16"/>
                <w:szCs w:val="16"/>
              </w:rPr>
              <w:t>约1</w:t>
            </w:r>
            <w:r>
              <w:rPr>
                <w:rFonts w:hint="eastAsia"/>
                <w:spacing w:val="-2"/>
                <w:sz w:val="16"/>
                <w:szCs w:val="16"/>
                <w:lang w:val="en-US" w:eastAsia="zh-CN"/>
              </w:rPr>
              <w:t>72</w:t>
            </w:r>
            <w:r>
              <w:rPr>
                <w:spacing w:val="-2"/>
                <w:sz w:val="16"/>
                <w:szCs w:val="16"/>
              </w:rPr>
              <w:t>T</w:t>
            </w:r>
          </w:p>
        </w:tc>
        <w:tc>
          <w:tcPr>
            <w:tcW w:w="553" w:type="dxa"/>
            <w:vAlign w:val="center"/>
          </w:tcPr>
          <w:p w14:paraId="10110B01">
            <w:pPr>
              <w:jc w:val="center"/>
              <w:rPr>
                <w:rFonts w:ascii="Arial"/>
                <w:sz w:val="16"/>
                <w:szCs w:val="16"/>
              </w:rPr>
            </w:pPr>
          </w:p>
        </w:tc>
      </w:tr>
      <w:tr w14:paraId="14A3B4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2824" w:type="dxa"/>
            <w:gridSpan w:val="3"/>
            <w:vAlign w:val="top"/>
          </w:tcPr>
          <w:p w14:paraId="0C3D155A">
            <w:pPr>
              <w:pStyle w:val="14"/>
              <w:spacing w:before="165" w:line="221" w:lineRule="auto"/>
              <w:ind w:left="865"/>
              <w:jc w:val="center"/>
              <w:rPr>
                <w:sz w:val="16"/>
                <w:szCs w:val="16"/>
              </w:rPr>
            </w:pPr>
            <w:r>
              <w:rPr>
                <w:spacing w:val="-4"/>
                <w:sz w:val="16"/>
                <w:szCs w:val="16"/>
              </w:rPr>
              <w:t>合</w:t>
            </w:r>
            <w:r>
              <w:rPr>
                <w:spacing w:val="2"/>
                <w:sz w:val="16"/>
                <w:szCs w:val="16"/>
              </w:rPr>
              <w:t xml:space="preserve">   </w:t>
            </w:r>
            <w:r>
              <w:rPr>
                <w:spacing w:val="-4"/>
                <w:sz w:val="16"/>
                <w:szCs w:val="16"/>
              </w:rPr>
              <w:t>计</w:t>
            </w:r>
          </w:p>
        </w:tc>
        <w:tc>
          <w:tcPr>
            <w:tcW w:w="525" w:type="dxa"/>
            <w:vAlign w:val="top"/>
          </w:tcPr>
          <w:p w14:paraId="57BB15A9">
            <w:pPr>
              <w:jc w:val="center"/>
              <w:rPr>
                <w:rFonts w:ascii="Arial"/>
                <w:sz w:val="16"/>
                <w:szCs w:val="16"/>
              </w:rPr>
            </w:pPr>
          </w:p>
        </w:tc>
        <w:tc>
          <w:tcPr>
            <w:tcW w:w="525" w:type="dxa"/>
            <w:vAlign w:val="center"/>
          </w:tcPr>
          <w:p w14:paraId="4FFFFF9D">
            <w:pPr>
              <w:pStyle w:val="14"/>
              <w:spacing w:before="205" w:line="183" w:lineRule="auto"/>
              <w:ind w:left="142"/>
              <w:jc w:val="left"/>
              <w:rPr>
                <w:rFonts w:hint="eastAsia" w:eastAsia="宋体"/>
                <w:sz w:val="16"/>
                <w:szCs w:val="16"/>
                <w:lang w:eastAsia="zh-CN"/>
              </w:rPr>
            </w:pPr>
            <w:r>
              <w:rPr>
                <w:spacing w:val="-2"/>
                <w:sz w:val="16"/>
                <w:szCs w:val="16"/>
              </w:rPr>
              <w:t>4</w:t>
            </w:r>
            <w:r>
              <w:rPr>
                <w:rFonts w:hint="eastAsia"/>
                <w:spacing w:val="-2"/>
                <w:sz w:val="16"/>
                <w:szCs w:val="16"/>
                <w:lang w:val="en-US" w:eastAsia="zh-CN"/>
              </w:rPr>
              <w:t>9</w:t>
            </w:r>
          </w:p>
        </w:tc>
        <w:tc>
          <w:tcPr>
            <w:tcW w:w="1500" w:type="dxa"/>
            <w:vAlign w:val="top"/>
          </w:tcPr>
          <w:p w14:paraId="0F01F0D3">
            <w:pPr>
              <w:jc w:val="center"/>
              <w:rPr>
                <w:rFonts w:ascii="Arial"/>
                <w:sz w:val="16"/>
                <w:szCs w:val="16"/>
              </w:rPr>
            </w:pPr>
          </w:p>
        </w:tc>
        <w:tc>
          <w:tcPr>
            <w:tcW w:w="750" w:type="dxa"/>
            <w:vAlign w:val="top"/>
          </w:tcPr>
          <w:p w14:paraId="62444821">
            <w:pPr>
              <w:jc w:val="center"/>
              <w:rPr>
                <w:rFonts w:ascii="Arial"/>
                <w:sz w:val="16"/>
                <w:szCs w:val="16"/>
              </w:rPr>
            </w:pPr>
          </w:p>
        </w:tc>
        <w:tc>
          <w:tcPr>
            <w:tcW w:w="654" w:type="dxa"/>
            <w:vAlign w:val="top"/>
          </w:tcPr>
          <w:p w14:paraId="3BC2BF5A">
            <w:pPr>
              <w:jc w:val="center"/>
              <w:rPr>
                <w:rFonts w:ascii="Arial"/>
                <w:sz w:val="16"/>
                <w:szCs w:val="16"/>
              </w:rPr>
            </w:pPr>
          </w:p>
        </w:tc>
        <w:tc>
          <w:tcPr>
            <w:tcW w:w="728" w:type="dxa"/>
            <w:vAlign w:val="top"/>
          </w:tcPr>
          <w:p w14:paraId="299BEDEC">
            <w:pPr>
              <w:pStyle w:val="14"/>
              <w:spacing w:before="169" w:line="224" w:lineRule="auto"/>
              <w:ind w:firstLine="156" w:firstLineChars="100"/>
              <w:jc w:val="both"/>
              <w:rPr>
                <w:sz w:val="16"/>
                <w:szCs w:val="16"/>
              </w:rPr>
            </w:pPr>
            <w:r>
              <w:rPr>
                <w:spacing w:val="-2"/>
                <w:sz w:val="16"/>
                <w:szCs w:val="16"/>
              </w:rPr>
              <w:t>约1</w:t>
            </w:r>
            <w:r>
              <w:rPr>
                <w:rFonts w:hint="eastAsia"/>
                <w:spacing w:val="-2"/>
                <w:sz w:val="16"/>
                <w:szCs w:val="16"/>
                <w:lang w:val="en-US" w:eastAsia="zh-CN"/>
              </w:rPr>
              <w:t>72</w:t>
            </w:r>
            <w:r>
              <w:rPr>
                <w:spacing w:val="-2"/>
                <w:sz w:val="16"/>
                <w:szCs w:val="16"/>
              </w:rPr>
              <w:t>T</w:t>
            </w:r>
          </w:p>
        </w:tc>
        <w:tc>
          <w:tcPr>
            <w:tcW w:w="553" w:type="dxa"/>
            <w:vAlign w:val="top"/>
          </w:tcPr>
          <w:p w14:paraId="1BDFCB41">
            <w:pPr>
              <w:jc w:val="center"/>
              <w:rPr>
                <w:rFonts w:ascii="Arial"/>
                <w:sz w:val="16"/>
                <w:szCs w:val="16"/>
              </w:rPr>
            </w:pPr>
          </w:p>
        </w:tc>
      </w:tr>
    </w:tbl>
    <w:p w14:paraId="598AF750">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hint="eastAsia" w:ascii="宋体"/>
          <w:color w:val="auto"/>
          <w:sz w:val="24"/>
          <w:lang w:val="en-US" w:eastAsia="zh-CN"/>
        </w:rPr>
      </w:pPr>
    </w:p>
    <w:p w14:paraId="6E5712A7">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hint="default" w:ascii="宋体" w:eastAsia="宋体"/>
          <w:b/>
          <w:bCs/>
          <w:color w:val="auto"/>
          <w:sz w:val="24"/>
          <w:lang w:val="en-US" w:eastAsia="zh-CN"/>
        </w:rPr>
      </w:pPr>
      <w:r>
        <w:rPr>
          <w:rFonts w:hint="eastAsia" w:ascii="宋体"/>
          <w:color w:val="auto"/>
          <w:sz w:val="24"/>
          <w:lang w:val="en-US" w:eastAsia="zh-CN"/>
        </w:rPr>
        <w:t>备注：</w:t>
      </w:r>
      <w:r>
        <w:rPr>
          <w:rFonts w:ascii="宋体"/>
          <w:color w:val="auto"/>
          <w:sz w:val="24"/>
        </w:rPr>
        <w:t>具体报废资产详情及现场实际状况</w:t>
      </w:r>
      <w:r>
        <w:rPr>
          <w:rFonts w:hint="eastAsia" w:ascii="宋体"/>
          <w:color w:val="auto"/>
          <w:sz w:val="24"/>
          <w:lang w:val="en-US" w:eastAsia="zh-CN"/>
        </w:rPr>
        <w:t>乙方已</w:t>
      </w:r>
      <w:r>
        <w:rPr>
          <w:rFonts w:ascii="宋体"/>
          <w:color w:val="auto"/>
          <w:sz w:val="24"/>
        </w:rPr>
        <w:t>现场</w:t>
      </w:r>
      <w:r>
        <w:rPr>
          <w:rFonts w:hint="eastAsia" w:ascii="宋体"/>
          <w:bCs/>
          <w:color w:val="auto"/>
          <w:sz w:val="24"/>
          <w:lang w:val="en-US" w:eastAsia="zh-CN"/>
        </w:rPr>
        <w:t>勘</w:t>
      </w:r>
      <w:r>
        <w:rPr>
          <w:rFonts w:ascii="宋体"/>
          <w:color w:val="auto"/>
          <w:sz w:val="24"/>
        </w:rPr>
        <w:t>查</w:t>
      </w:r>
      <w:r>
        <w:rPr>
          <w:rFonts w:hint="eastAsia" w:ascii="宋体"/>
          <w:color w:val="auto"/>
          <w:sz w:val="24"/>
          <w:lang w:eastAsia="zh-CN"/>
        </w:rPr>
        <w:t>，</w:t>
      </w:r>
      <w:r>
        <w:rPr>
          <w:rFonts w:ascii="宋体"/>
          <w:color w:val="auto"/>
          <w:sz w:val="24"/>
        </w:rPr>
        <w:t>一切数量及报废资产情况以现状实物为准</w:t>
      </w:r>
      <w:r>
        <w:rPr>
          <w:rFonts w:hint="eastAsia" w:ascii="宋体"/>
          <w:color w:val="auto"/>
          <w:sz w:val="24"/>
          <w:lang w:eastAsia="zh-CN"/>
        </w:rPr>
        <w:t>。</w:t>
      </w:r>
      <w:r>
        <w:rPr>
          <w:rFonts w:hint="eastAsia" w:ascii="宋体"/>
          <w:color w:val="auto"/>
          <w:sz w:val="24"/>
          <w:lang w:val="en-US" w:eastAsia="zh-CN"/>
        </w:rPr>
        <w:t>甲方整体出售、乙方整体购买。</w:t>
      </w:r>
    </w:p>
    <w:p w14:paraId="1348450B">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2" w:firstLineChars="200"/>
        <w:textAlignment w:val="auto"/>
        <w:rPr>
          <w:rFonts w:ascii="宋体"/>
          <w:b/>
          <w:bCs/>
          <w:color w:val="auto"/>
          <w:sz w:val="24"/>
        </w:rPr>
      </w:pPr>
      <w:r>
        <w:rPr>
          <w:rFonts w:hint="eastAsia" w:ascii="宋体"/>
          <w:b/>
          <w:bCs/>
          <w:color w:val="auto"/>
          <w:sz w:val="24"/>
        </w:rPr>
        <w:t>第二条、</w:t>
      </w:r>
      <w:r>
        <w:rPr>
          <w:rFonts w:hint="eastAsia" w:ascii="宋体"/>
          <w:b/>
          <w:bCs/>
          <w:color w:val="auto"/>
          <w:sz w:val="24"/>
          <w:lang w:val="en-US" w:eastAsia="zh-CN"/>
        </w:rPr>
        <w:t>报废资产</w:t>
      </w:r>
      <w:r>
        <w:rPr>
          <w:rFonts w:hint="eastAsia" w:ascii="宋体"/>
          <w:b/>
          <w:bCs/>
          <w:color w:val="auto"/>
          <w:sz w:val="24"/>
        </w:rPr>
        <w:t>质量</w:t>
      </w:r>
    </w:p>
    <w:p w14:paraId="2D71C7AE">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ascii="宋体"/>
          <w:color w:val="auto"/>
          <w:sz w:val="24"/>
        </w:rPr>
      </w:pPr>
      <w:r>
        <w:rPr>
          <w:rFonts w:hint="eastAsia" w:ascii="宋体"/>
          <w:color w:val="auto"/>
          <w:sz w:val="24"/>
          <w:lang w:val="en-US" w:eastAsia="zh-CN"/>
        </w:rPr>
        <w:t>乙方已知晓</w:t>
      </w:r>
      <w:r>
        <w:rPr>
          <w:rFonts w:ascii="宋体"/>
          <w:color w:val="auto"/>
          <w:sz w:val="24"/>
        </w:rPr>
        <w:t>甲方出售的废旧</w:t>
      </w:r>
      <w:r>
        <w:rPr>
          <w:rFonts w:hint="eastAsia" w:ascii="宋体"/>
          <w:color w:val="auto"/>
          <w:sz w:val="24"/>
          <w:lang w:val="en-US" w:eastAsia="zh-CN"/>
        </w:rPr>
        <w:t>材料、</w:t>
      </w:r>
      <w:r>
        <w:rPr>
          <w:rFonts w:ascii="宋体"/>
          <w:color w:val="auto"/>
          <w:sz w:val="24"/>
        </w:rPr>
        <w:t>设备</w:t>
      </w:r>
      <w:r>
        <w:rPr>
          <w:rFonts w:hint="eastAsia" w:ascii="宋体"/>
          <w:color w:val="auto"/>
          <w:sz w:val="24"/>
          <w:lang w:val="en-US" w:eastAsia="zh-CN"/>
        </w:rPr>
        <w:t>等</w:t>
      </w:r>
      <w:r>
        <w:rPr>
          <w:rFonts w:ascii="宋体"/>
          <w:color w:val="auto"/>
          <w:sz w:val="24"/>
        </w:rPr>
        <w:t>属于报废资产，且没有质量保证书、使用说明书等相关资料文件，甲方对出售的废旧设备不提供任何质量保证和担保。</w:t>
      </w:r>
    </w:p>
    <w:p w14:paraId="2F676137">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2" w:firstLineChars="200"/>
        <w:textAlignment w:val="auto"/>
        <w:rPr>
          <w:rFonts w:ascii="宋体" w:eastAsia="宋体"/>
          <w:b/>
          <w:bCs/>
          <w:color w:val="auto"/>
          <w:sz w:val="24"/>
          <w:lang w:val="en-US" w:eastAsia="zh-CN"/>
        </w:rPr>
      </w:pPr>
      <w:r>
        <w:rPr>
          <w:rFonts w:hint="eastAsia" w:ascii="宋体"/>
          <w:b/>
          <w:bCs/>
          <w:color w:val="auto"/>
          <w:sz w:val="24"/>
        </w:rPr>
        <w:t>第三条、</w:t>
      </w:r>
      <w:r>
        <w:rPr>
          <w:rFonts w:hint="eastAsia" w:ascii="宋体"/>
          <w:b/>
          <w:bCs/>
          <w:color w:val="auto"/>
          <w:sz w:val="24"/>
          <w:lang w:val="en-US" w:eastAsia="zh-CN"/>
        </w:rPr>
        <w:t>提货时间、地点、方式</w:t>
      </w:r>
    </w:p>
    <w:p w14:paraId="3BB957C1">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hint="default" w:ascii="宋体"/>
          <w:color w:val="auto"/>
          <w:sz w:val="24"/>
          <w:lang w:val="en-US" w:eastAsia="zh-CN"/>
        </w:rPr>
      </w:pPr>
      <w:r>
        <w:rPr>
          <w:rFonts w:ascii="宋体"/>
          <w:color w:val="auto"/>
          <w:sz w:val="24"/>
        </w:rPr>
        <w:t>1、</w:t>
      </w:r>
      <w:r>
        <w:rPr>
          <w:rFonts w:hint="eastAsia" w:ascii="宋体"/>
          <w:color w:val="auto"/>
          <w:sz w:val="24"/>
          <w:lang w:val="en-US" w:eastAsia="zh-CN"/>
        </w:rPr>
        <w:t>提货时间</w:t>
      </w:r>
      <w:r>
        <w:rPr>
          <w:rFonts w:ascii="宋体"/>
          <w:color w:val="auto"/>
          <w:sz w:val="24"/>
        </w:rPr>
        <w:t>：</w:t>
      </w:r>
      <w:r>
        <w:rPr>
          <w:rFonts w:ascii="宋体" w:eastAsia="宋体"/>
          <w:color w:val="auto"/>
          <w:sz w:val="24"/>
        </w:rPr>
        <w:t>乙方应</w:t>
      </w:r>
      <w:r>
        <w:rPr>
          <w:rFonts w:hint="eastAsia" w:ascii="宋体"/>
          <w:color w:val="auto"/>
          <w:sz w:val="24"/>
        </w:rPr>
        <w:t>在合同签订后</w:t>
      </w:r>
      <w:r>
        <w:rPr>
          <w:rFonts w:hint="eastAsia" w:ascii="宋体"/>
          <w:color w:val="auto"/>
          <w:sz w:val="24"/>
          <w:u w:val="single"/>
          <w:lang w:val="en-US" w:eastAsia="zh-CN"/>
        </w:rPr>
        <w:t xml:space="preserve"> 3 </w:t>
      </w:r>
      <w:r>
        <w:rPr>
          <w:rFonts w:hint="eastAsia" w:ascii="宋体"/>
          <w:color w:val="auto"/>
          <w:sz w:val="24"/>
        </w:rPr>
        <w:t>日内</w:t>
      </w:r>
      <w:r>
        <w:rPr>
          <w:rFonts w:hint="eastAsia" w:ascii="宋体"/>
          <w:color w:val="auto"/>
          <w:sz w:val="24"/>
          <w:lang w:val="en-US" w:eastAsia="zh-CN"/>
        </w:rPr>
        <w:t>将所有废旧物质提清。</w:t>
      </w:r>
    </w:p>
    <w:p w14:paraId="3938CB24">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ascii="宋体"/>
          <w:color w:val="auto"/>
          <w:sz w:val="24"/>
        </w:rPr>
      </w:pPr>
      <w:r>
        <w:rPr>
          <w:rFonts w:ascii="宋体"/>
          <w:color w:val="auto"/>
          <w:sz w:val="24"/>
        </w:rPr>
        <w:t>2、</w:t>
      </w:r>
      <w:r>
        <w:rPr>
          <w:rFonts w:hint="eastAsia" w:ascii="宋体"/>
          <w:color w:val="auto"/>
          <w:sz w:val="24"/>
          <w:lang w:val="en-US" w:eastAsia="zh-CN"/>
        </w:rPr>
        <w:t>提货</w:t>
      </w:r>
      <w:r>
        <w:rPr>
          <w:rFonts w:ascii="宋体"/>
          <w:color w:val="auto"/>
          <w:sz w:val="24"/>
        </w:rPr>
        <w:t>地点：</w:t>
      </w:r>
      <w:r>
        <w:rPr>
          <w:rFonts w:hint="eastAsia" w:ascii="宋体"/>
          <w:color w:val="auto"/>
          <w:sz w:val="24"/>
          <w:u w:val="single"/>
          <w:lang w:val="en-US" w:eastAsia="zh-CN"/>
        </w:rPr>
        <w:t>大渡口经开区安东国瑞厂区</w:t>
      </w:r>
      <w:r>
        <w:rPr>
          <w:rFonts w:hint="eastAsia" w:ascii="宋体" w:eastAsia="宋体"/>
          <w:color w:val="auto"/>
          <w:sz w:val="24"/>
          <w:u w:val="single"/>
        </w:rPr>
        <w:t>。</w:t>
      </w:r>
    </w:p>
    <w:p w14:paraId="16664AA3">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hint="eastAsia" w:ascii="宋体"/>
          <w:color w:val="auto"/>
          <w:sz w:val="24"/>
          <w:lang w:val="en-US" w:eastAsia="zh-CN"/>
        </w:rPr>
      </w:pPr>
      <w:r>
        <w:rPr>
          <w:rFonts w:hint="eastAsia" w:ascii="宋体"/>
          <w:color w:val="auto"/>
          <w:sz w:val="24"/>
          <w:lang w:val="en-US" w:eastAsia="zh-CN"/>
        </w:rPr>
        <w:t>3、提货方式：</w:t>
      </w:r>
      <w:r>
        <w:rPr>
          <w:rFonts w:ascii="宋体"/>
          <w:color w:val="auto"/>
          <w:sz w:val="24"/>
          <w:lang w:val="en-US" w:eastAsia="zh-CN"/>
        </w:rPr>
        <w:t>乙方应根据甲方安排自备车辆和装卸人员，</w:t>
      </w:r>
      <w:r>
        <w:rPr>
          <w:rFonts w:hint="eastAsia" w:ascii="宋体"/>
          <w:color w:val="auto"/>
          <w:sz w:val="24"/>
          <w:lang w:val="en-US" w:eastAsia="zh-CN"/>
        </w:rPr>
        <w:t>由</w:t>
      </w:r>
      <w:r>
        <w:rPr>
          <w:rFonts w:ascii="宋体"/>
          <w:color w:val="auto"/>
          <w:sz w:val="24"/>
          <w:lang w:val="en-US" w:eastAsia="zh-CN"/>
        </w:rPr>
        <w:t>甲方人员带至指定地点提货并负责清理现场</w:t>
      </w:r>
      <w:r>
        <w:rPr>
          <w:rFonts w:hint="eastAsia" w:ascii="宋体"/>
          <w:color w:val="auto"/>
          <w:sz w:val="24"/>
          <w:lang w:val="en-US" w:eastAsia="zh-CN"/>
        </w:rPr>
        <w:t>。</w:t>
      </w:r>
    </w:p>
    <w:p w14:paraId="101F1115">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hint="eastAsia" w:ascii="宋体"/>
          <w:color w:val="auto"/>
          <w:sz w:val="24"/>
          <w:lang w:val="en-US" w:eastAsia="zh-CN"/>
        </w:rPr>
      </w:pPr>
      <w:r>
        <w:rPr>
          <w:rFonts w:hint="eastAsia" w:ascii="宋体"/>
          <w:color w:val="auto"/>
          <w:sz w:val="24"/>
          <w:lang w:val="en-US" w:eastAsia="zh-CN"/>
        </w:rPr>
        <w:t>4、乙方提货前，需经甲方确认全额回收款已到账。</w:t>
      </w:r>
    </w:p>
    <w:p w14:paraId="342F3E1F">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2" w:firstLineChars="200"/>
        <w:textAlignment w:val="auto"/>
        <w:rPr>
          <w:rFonts w:ascii="宋体"/>
          <w:b/>
          <w:bCs/>
          <w:color w:val="auto"/>
          <w:sz w:val="24"/>
        </w:rPr>
      </w:pPr>
      <w:r>
        <w:rPr>
          <w:rFonts w:hint="eastAsia" w:ascii="宋体"/>
          <w:b/>
          <w:bCs/>
          <w:color w:val="auto"/>
          <w:sz w:val="24"/>
        </w:rPr>
        <w:t>第四条、</w:t>
      </w:r>
      <w:r>
        <w:rPr>
          <w:rFonts w:hint="eastAsia" w:ascii="宋体"/>
          <w:b/>
          <w:bCs/>
          <w:color w:val="auto"/>
          <w:sz w:val="24"/>
          <w:lang w:val="en-US" w:eastAsia="zh-CN"/>
        </w:rPr>
        <w:t>合同价款及结算方式</w:t>
      </w:r>
      <w:r>
        <w:rPr>
          <w:rFonts w:hint="eastAsia" w:ascii="宋体"/>
          <w:color w:val="auto"/>
          <w:sz w:val="24"/>
          <w:lang w:val="en-US" w:eastAsia="zh-CN"/>
        </w:rPr>
        <w:t>。</w:t>
      </w:r>
    </w:p>
    <w:p w14:paraId="6AFF0046">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hint="eastAsia" w:ascii="宋体"/>
          <w:color w:val="auto"/>
          <w:sz w:val="24"/>
          <w:lang w:val="en-US" w:eastAsia="zh-CN"/>
        </w:rPr>
      </w:pPr>
      <w:r>
        <w:rPr>
          <w:rFonts w:hint="eastAsia" w:ascii="宋体"/>
          <w:color w:val="auto"/>
          <w:sz w:val="24"/>
          <w:lang w:val="en-US" w:eastAsia="zh-CN"/>
        </w:rPr>
        <w:t>合同价款即回收费用</w:t>
      </w:r>
      <w:r>
        <w:rPr>
          <w:rFonts w:hint="eastAsia" w:ascii="宋体" w:hAnsi="Times New Roman" w:eastAsia="宋体" w:cs="Times New Roman"/>
          <w:color w:val="auto"/>
          <w:sz w:val="24"/>
          <w:lang w:val="en-US" w:eastAsia="zh-CN"/>
        </w:rPr>
        <w:t>为</w:t>
      </w:r>
      <w:r>
        <w:rPr>
          <w:rFonts w:hint="eastAsia" w:ascii="宋体" w:hAnsi="Times New Roman" w:eastAsia="宋体" w:cs="Times New Roman"/>
          <w:color w:val="auto"/>
          <w:sz w:val="24"/>
          <w:u w:val="single"/>
          <w:lang w:val="en-US" w:eastAsia="zh-CN"/>
        </w:rPr>
        <w:t>人民币</w:t>
      </w:r>
      <w:r>
        <w:rPr>
          <w:rFonts w:hint="eastAsia" w:ascii="宋体" w:cs="Times New Roman"/>
          <w:color w:val="auto"/>
          <w:sz w:val="24"/>
          <w:u w:val="single"/>
          <w:lang w:val="en-US" w:eastAsia="zh-CN"/>
        </w:rPr>
        <w:t xml:space="preserve">大写       </w:t>
      </w:r>
      <w:r>
        <w:rPr>
          <w:rFonts w:hint="eastAsia" w:ascii="宋体" w:hAnsi="Times New Roman" w:eastAsia="宋体" w:cs="Times New Roman"/>
          <w:color w:val="auto"/>
          <w:sz w:val="24"/>
          <w:u w:val="single"/>
          <w:lang w:val="en-US" w:eastAsia="zh-CN"/>
        </w:rPr>
        <w:t>（￥</w:t>
      </w:r>
      <w:r>
        <w:rPr>
          <w:rFonts w:hint="eastAsia" w:ascii="宋体" w:cs="Times New Roman"/>
          <w:color w:val="auto"/>
          <w:sz w:val="24"/>
          <w:u w:val="single"/>
          <w:lang w:val="en-US" w:eastAsia="zh-CN"/>
        </w:rPr>
        <w:t xml:space="preserve">    </w:t>
      </w:r>
      <w:r>
        <w:rPr>
          <w:rFonts w:hint="default" w:ascii="宋体" w:hAnsi="Times New Roman" w:eastAsia="宋体" w:cs="Times New Roman"/>
          <w:color w:val="auto"/>
          <w:sz w:val="24"/>
          <w:u w:val="single"/>
          <w:lang w:val="en-US" w:eastAsia="zh-CN"/>
        </w:rPr>
        <w:t>元）</w:t>
      </w:r>
      <w:r>
        <w:rPr>
          <w:rFonts w:hint="eastAsia" w:ascii="宋体" w:hAnsi="Times New Roman" w:eastAsia="宋体" w:cs="Times New Roman"/>
          <w:color w:val="auto"/>
          <w:sz w:val="24"/>
          <w:u w:val="single"/>
          <w:lang w:val="en-US" w:eastAsia="zh-CN"/>
        </w:rPr>
        <w:t>。</w:t>
      </w:r>
      <w:r>
        <w:rPr>
          <w:rFonts w:hint="eastAsia" w:ascii="宋体" w:hAnsi="Times New Roman" w:eastAsia="宋体" w:cs="Times New Roman"/>
          <w:color w:val="auto"/>
          <w:sz w:val="24"/>
          <w:lang w:val="en-US" w:eastAsia="zh-CN"/>
        </w:rPr>
        <w:t>乙方应在合同签订后</w:t>
      </w:r>
      <w:r>
        <w:rPr>
          <w:rFonts w:hint="eastAsia" w:ascii="宋体" w:hAnsi="Times New Roman" w:eastAsia="宋体" w:cs="Times New Roman"/>
          <w:color w:val="auto"/>
          <w:sz w:val="24"/>
          <w:u w:val="single"/>
          <w:lang w:val="en-US" w:eastAsia="zh-CN"/>
        </w:rPr>
        <w:t xml:space="preserve"> 3 </w:t>
      </w:r>
      <w:r>
        <w:rPr>
          <w:rFonts w:hint="eastAsia" w:ascii="宋体" w:hAnsi="Times New Roman" w:eastAsia="宋体" w:cs="Times New Roman"/>
          <w:color w:val="auto"/>
          <w:sz w:val="24"/>
          <w:lang w:val="en-US" w:eastAsia="zh-CN"/>
        </w:rPr>
        <w:t>日内，将全额回收款转账至甲方指定银行账户（</w:t>
      </w:r>
      <w:r>
        <w:rPr>
          <w:rFonts w:hint="eastAsia" w:ascii="宋体" w:cs="Times New Roman"/>
          <w:color w:val="auto"/>
          <w:sz w:val="24"/>
          <w:lang w:val="en-US" w:eastAsia="zh-CN"/>
        </w:rPr>
        <w:t>乙方已支付的</w:t>
      </w:r>
      <w:r>
        <w:rPr>
          <w:rFonts w:hint="eastAsia" w:ascii="宋体" w:hAnsi="Times New Roman" w:eastAsia="宋体" w:cs="Times New Roman"/>
          <w:color w:val="auto"/>
          <w:sz w:val="24"/>
          <w:lang w:val="en-US" w:eastAsia="zh-CN"/>
        </w:rPr>
        <w:t>投标保证金人民币壹万元整自动转为回收款</w:t>
      </w:r>
      <w:r>
        <w:rPr>
          <w:rFonts w:hint="eastAsia" w:ascii="宋体" w:cs="Times New Roman"/>
          <w:color w:val="auto"/>
          <w:sz w:val="24"/>
          <w:lang w:val="en-US" w:eastAsia="zh-CN"/>
        </w:rPr>
        <w:t>，在回收总费用中扣除</w:t>
      </w:r>
      <w:r>
        <w:rPr>
          <w:rFonts w:hint="eastAsia" w:ascii="宋体" w:hAnsi="Times New Roman" w:eastAsia="宋体" w:cs="Times New Roman"/>
          <w:color w:val="auto"/>
          <w:sz w:val="24"/>
          <w:lang w:val="en-US" w:eastAsia="zh-CN"/>
        </w:rPr>
        <w:t>）。</w:t>
      </w:r>
    </w:p>
    <w:p w14:paraId="01EB994D">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hint="default" w:ascii="宋体"/>
          <w:color w:val="auto"/>
          <w:sz w:val="24"/>
          <w:u w:val="single"/>
          <w:lang w:val="en-US" w:eastAsia="zh-CN"/>
        </w:rPr>
      </w:pPr>
      <w:r>
        <w:rPr>
          <w:rFonts w:hint="eastAsia" w:ascii="宋体"/>
          <w:color w:val="auto"/>
          <w:sz w:val="24"/>
          <w:lang w:val="en-US" w:eastAsia="zh-CN"/>
        </w:rPr>
        <w:t>支付方式：</w:t>
      </w:r>
      <w:r>
        <w:rPr>
          <w:rFonts w:hint="eastAsia" w:ascii="宋体"/>
          <w:color w:val="auto"/>
          <w:sz w:val="24"/>
          <w:u w:val="none"/>
          <w:lang w:val="en-US" w:eastAsia="zh-CN"/>
        </w:rPr>
        <w:t>银行转账</w:t>
      </w:r>
    </w:p>
    <w:p w14:paraId="6CECB435">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hint="eastAsia" w:ascii="宋体" w:hAnsi="Times New Roman" w:eastAsia="宋体" w:cs="Times New Roman"/>
          <w:color w:val="auto"/>
          <w:sz w:val="24"/>
          <w:lang w:val="en-US" w:eastAsia="zh-CN"/>
        </w:rPr>
      </w:pPr>
      <w:r>
        <w:rPr>
          <w:rFonts w:hint="eastAsia" w:ascii="宋体" w:hAnsi="Times New Roman" w:eastAsia="宋体" w:cs="Times New Roman"/>
          <w:color w:val="auto"/>
          <w:sz w:val="24"/>
          <w:lang w:val="en-US" w:eastAsia="zh-CN"/>
        </w:rPr>
        <w:t>银行账号：1812 7165 6186</w:t>
      </w:r>
    </w:p>
    <w:p w14:paraId="5D46EB27">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hint="eastAsia" w:ascii="宋体" w:hAnsi="Times New Roman" w:eastAsia="宋体" w:cs="Times New Roman"/>
          <w:color w:val="auto"/>
          <w:sz w:val="24"/>
          <w:lang w:val="en-US" w:eastAsia="zh-CN"/>
        </w:rPr>
      </w:pPr>
      <w:r>
        <w:rPr>
          <w:rFonts w:hint="eastAsia" w:ascii="宋体" w:hAnsi="Times New Roman" w:eastAsia="宋体" w:cs="Times New Roman"/>
          <w:color w:val="auto"/>
          <w:sz w:val="24"/>
          <w:lang w:val="en-US" w:eastAsia="zh-CN"/>
        </w:rPr>
        <w:t>开户银行：中国银行股份有限公司东至支行</w:t>
      </w:r>
    </w:p>
    <w:p w14:paraId="78AEEEB0">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hint="default" w:ascii="宋体"/>
          <w:color w:val="auto"/>
          <w:sz w:val="24"/>
          <w:u w:val="single"/>
          <w:lang w:val="en-US" w:eastAsia="zh-CN"/>
        </w:rPr>
      </w:pPr>
      <w:r>
        <w:rPr>
          <w:rFonts w:hint="eastAsia" w:ascii="宋体" w:hAnsi="Times New Roman" w:eastAsia="宋体" w:cs="Times New Roman"/>
          <w:color w:val="auto"/>
          <w:sz w:val="24"/>
          <w:lang w:val="en-US" w:eastAsia="zh-CN"/>
        </w:rPr>
        <w:t>账号名称：</w:t>
      </w:r>
      <w:r>
        <w:rPr>
          <w:rFonts w:hint="eastAsia" w:ascii="宋体" w:cs="Times New Roman"/>
          <w:color w:val="auto"/>
          <w:sz w:val="24"/>
          <w:lang w:val="en-US" w:eastAsia="zh-CN"/>
        </w:rPr>
        <w:t>东至大渡口产业发展有限责任公司</w:t>
      </w:r>
    </w:p>
    <w:p w14:paraId="5E372442">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2" w:firstLineChars="200"/>
        <w:textAlignment w:val="auto"/>
        <w:rPr>
          <w:rFonts w:hint="eastAsia" w:ascii="宋体"/>
          <w:b/>
          <w:bCs/>
          <w:color w:val="auto"/>
          <w:sz w:val="24"/>
          <w:lang w:val="en-US" w:eastAsia="zh-CN"/>
        </w:rPr>
      </w:pPr>
      <w:r>
        <w:rPr>
          <w:rFonts w:hint="eastAsia" w:ascii="宋体"/>
          <w:b/>
          <w:bCs/>
          <w:color w:val="auto"/>
          <w:sz w:val="24"/>
        </w:rPr>
        <w:t>第</w:t>
      </w:r>
      <w:r>
        <w:rPr>
          <w:rFonts w:hint="eastAsia" w:ascii="宋体"/>
          <w:b/>
          <w:bCs/>
          <w:color w:val="auto"/>
          <w:sz w:val="24"/>
          <w:lang w:val="en-US" w:eastAsia="zh-CN"/>
        </w:rPr>
        <w:t>五</w:t>
      </w:r>
      <w:r>
        <w:rPr>
          <w:rFonts w:hint="eastAsia" w:ascii="宋体"/>
          <w:b/>
          <w:bCs/>
          <w:color w:val="auto"/>
          <w:sz w:val="24"/>
        </w:rPr>
        <w:t>条</w:t>
      </w:r>
      <w:r>
        <w:rPr>
          <w:rFonts w:hint="eastAsia" w:ascii="宋体"/>
          <w:b/>
          <w:bCs/>
          <w:color w:val="auto"/>
          <w:sz w:val="24"/>
          <w:lang w:val="en-US" w:eastAsia="zh-CN"/>
        </w:rPr>
        <w:t>、甲乙双方的权利和义务：</w:t>
      </w:r>
    </w:p>
    <w:p w14:paraId="55ADD616">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hint="eastAsia" w:ascii="宋体"/>
          <w:color w:val="auto"/>
          <w:sz w:val="24"/>
          <w:lang w:val="en-US" w:eastAsia="zh-CN"/>
        </w:rPr>
      </w:pPr>
      <w:r>
        <w:rPr>
          <w:rFonts w:hint="eastAsia" w:ascii="宋体"/>
          <w:color w:val="auto"/>
          <w:sz w:val="24"/>
          <w:lang w:val="en-US" w:eastAsia="zh-CN"/>
        </w:rPr>
        <w:t>（一）甲方的权利和义务：</w:t>
      </w:r>
    </w:p>
    <w:p w14:paraId="19BE300F">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hint="eastAsia" w:ascii="宋体"/>
          <w:color w:val="auto"/>
          <w:sz w:val="24"/>
          <w:lang w:val="en-US" w:eastAsia="zh-CN"/>
        </w:rPr>
      </w:pPr>
      <w:r>
        <w:rPr>
          <w:rFonts w:hint="eastAsia" w:ascii="宋体"/>
          <w:color w:val="auto"/>
          <w:sz w:val="24"/>
          <w:lang w:val="en-US" w:eastAsia="zh-CN"/>
        </w:rPr>
        <w:t>1、甲方指派专人在现场协调搬运等乙方工作中涉及问题。</w:t>
      </w:r>
    </w:p>
    <w:p w14:paraId="4FFF3743">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hint="eastAsia" w:ascii="宋体"/>
          <w:color w:val="auto"/>
          <w:sz w:val="24"/>
          <w:lang w:val="en-US" w:eastAsia="zh-CN"/>
        </w:rPr>
      </w:pPr>
      <w:r>
        <w:rPr>
          <w:rFonts w:hint="eastAsia" w:ascii="宋体"/>
          <w:color w:val="auto"/>
          <w:sz w:val="24"/>
          <w:lang w:val="en-US" w:eastAsia="zh-CN"/>
        </w:rPr>
        <w:t>2、负责安排乙方的车辆及人员进出手续办理，保障乙方搬运工作顺利进行。</w:t>
      </w:r>
    </w:p>
    <w:p w14:paraId="1F7DC4F6">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hint="eastAsia" w:ascii="宋体"/>
          <w:color w:val="auto"/>
          <w:sz w:val="24"/>
          <w:lang w:val="en-US" w:eastAsia="zh-CN"/>
        </w:rPr>
      </w:pPr>
      <w:r>
        <w:rPr>
          <w:rFonts w:hint="eastAsia" w:ascii="宋体"/>
          <w:color w:val="auto"/>
          <w:sz w:val="24"/>
          <w:lang w:val="en-US" w:eastAsia="zh-CN"/>
        </w:rPr>
        <w:t>3、负责对回收报废物资的种类进行清点，在确认无误后对运输车辆进行放行。</w:t>
      </w:r>
    </w:p>
    <w:p w14:paraId="40A5D57C">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hint="eastAsia" w:ascii="宋体"/>
          <w:color w:val="auto"/>
          <w:sz w:val="24"/>
          <w:lang w:val="en-US" w:eastAsia="zh-CN"/>
        </w:rPr>
      </w:pPr>
      <w:r>
        <w:rPr>
          <w:rFonts w:hint="eastAsia" w:ascii="宋体"/>
          <w:color w:val="auto"/>
          <w:sz w:val="24"/>
          <w:lang w:val="en-US" w:eastAsia="zh-CN"/>
        </w:rPr>
        <w:t>4、如因乙方机械设备及人员缺少，导致不能如期完毕搬运工作时，甲方有权规定乙方增加人员和车辆。</w:t>
      </w:r>
    </w:p>
    <w:p w14:paraId="6645A6D6">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hint="eastAsia" w:ascii="宋体"/>
          <w:color w:val="auto"/>
          <w:sz w:val="24"/>
          <w:lang w:val="en-US" w:eastAsia="zh-CN"/>
        </w:rPr>
      </w:pPr>
      <w:r>
        <w:rPr>
          <w:rFonts w:hint="eastAsia" w:ascii="宋体"/>
          <w:color w:val="auto"/>
          <w:sz w:val="24"/>
          <w:lang w:val="en-US" w:eastAsia="zh-CN"/>
        </w:rPr>
        <w:t>（二）乙方的权利和义务：</w:t>
      </w:r>
    </w:p>
    <w:p w14:paraId="75AB10D4">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hint="eastAsia" w:ascii="宋体"/>
          <w:color w:val="auto"/>
          <w:sz w:val="24"/>
          <w:lang w:val="en-US" w:eastAsia="zh-CN"/>
        </w:rPr>
      </w:pPr>
      <w:r>
        <w:rPr>
          <w:rFonts w:hint="eastAsia" w:ascii="宋体"/>
          <w:color w:val="auto"/>
          <w:sz w:val="24"/>
          <w:lang w:val="en-US" w:eastAsia="zh-CN"/>
        </w:rPr>
        <w:t>1、乙方应提供真实、有效的从事废旧物资回收的相关资质证明（如营业执照等），如发现乙方提供虚假资质的，甲方可以单方解除协议。</w:t>
      </w:r>
    </w:p>
    <w:p w14:paraId="1513E1F3">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hint="default" w:ascii="宋体"/>
          <w:color w:val="auto"/>
          <w:sz w:val="24"/>
          <w:lang w:val="en-US" w:eastAsia="zh-CN"/>
        </w:rPr>
      </w:pPr>
      <w:r>
        <w:rPr>
          <w:rFonts w:hint="eastAsia" w:ascii="宋体"/>
          <w:color w:val="auto"/>
          <w:sz w:val="24"/>
          <w:lang w:val="en-US" w:eastAsia="zh-CN"/>
        </w:rPr>
        <w:t>2、乙方应对此次回收的废旧物质依法进行收集、分类、运输和处理，确保符合国家相关法律法规和环境保护要求，处理方式应合法、环保。若因处理不当使甲方遭有关部门或个人处罚、投诉的，责任由乙方承担，甲方有权追责。</w:t>
      </w:r>
    </w:p>
    <w:p w14:paraId="61831157">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hint="eastAsia" w:ascii="宋体"/>
          <w:color w:val="auto"/>
          <w:sz w:val="24"/>
          <w:lang w:val="en-US" w:eastAsia="zh-CN"/>
        </w:rPr>
      </w:pPr>
      <w:r>
        <w:rPr>
          <w:rFonts w:hint="eastAsia" w:ascii="宋体"/>
          <w:color w:val="auto"/>
          <w:sz w:val="24"/>
          <w:lang w:val="en-US" w:eastAsia="zh-CN"/>
        </w:rPr>
        <w:t>3、及时将机械设备、车辆、人员安排到位，并配备施工所需的搬运工具、材料，如期完毕拆卸、搬运工作。</w:t>
      </w:r>
    </w:p>
    <w:p w14:paraId="2B1FA1E6">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hint="eastAsia" w:ascii="宋体"/>
          <w:color w:val="auto"/>
          <w:sz w:val="24"/>
          <w:lang w:val="en-US" w:eastAsia="zh-CN"/>
        </w:rPr>
      </w:pPr>
      <w:r>
        <w:rPr>
          <w:rFonts w:hint="eastAsia" w:ascii="宋体"/>
          <w:color w:val="auto"/>
          <w:sz w:val="24"/>
          <w:lang w:val="en-US" w:eastAsia="zh-CN"/>
        </w:rPr>
        <w:t>4、拆卸、搬运、清理经甲、乙方确认后方可起运离开。</w:t>
      </w:r>
    </w:p>
    <w:p w14:paraId="0EA43C9E">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hint="eastAsia" w:ascii="宋体"/>
          <w:color w:val="auto"/>
          <w:sz w:val="24"/>
          <w:lang w:val="en-US" w:eastAsia="zh-CN"/>
        </w:rPr>
      </w:pPr>
      <w:r>
        <w:rPr>
          <w:rFonts w:hint="eastAsia" w:ascii="宋体"/>
          <w:color w:val="auto"/>
          <w:sz w:val="24"/>
          <w:lang w:val="en-US" w:eastAsia="zh-CN"/>
        </w:rPr>
        <w:t>5、拆卸和搬运期间乙方人员的劳务费用、食宿、安全等由乙方全权负责。</w:t>
      </w:r>
    </w:p>
    <w:p w14:paraId="575D27E7">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hint="eastAsia" w:ascii="宋体"/>
          <w:color w:val="auto"/>
          <w:sz w:val="24"/>
          <w:lang w:val="en-US" w:eastAsia="zh-CN"/>
        </w:rPr>
      </w:pPr>
      <w:r>
        <w:rPr>
          <w:rFonts w:hint="eastAsia" w:ascii="宋体"/>
          <w:color w:val="auto"/>
          <w:sz w:val="24"/>
          <w:lang w:val="en-US" w:eastAsia="zh-CN"/>
        </w:rPr>
        <w:t>6、拆卸和搬运期间的交通运送由乙方负责，由此导致的交通事故甲方概不负责。</w:t>
      </w:r>
    </w:p>
    <w:p w14:paraId="2A512BFD">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2" w:firstLineChars="200"/>
        <w:textAlignment w:val="auto"/>
        <w:rPr>
          <w:rFonts w:hint="eastAsia" w:ascii="宋体"/>
          <w:b/>
          <w:bCs/>
          <w:color w:val="auto"/>
          <w:sz w:val="24"/>
          <w:lang w:val="en-US" w:eastAsia="zh-CN"/>
        </w:rPr>
      </w:pPr>
      <w:r>
        <w:rPr>
          <w:rFonts w:hint="eastAsia" w:ascii="宋体"/>
          <w:b/>
          <w:bCs/>
          <w:color w:val="auto"/>
          <w:sz w:val="24"/>
        </w:rPr>
        <w:t>第</w:t>
      </w:r>
      <w:r>
        <w:rPr>
          <w:rFonts w:hint="eastAsia" w:ascii="宋体"/>
          <w:b/>
          <w:bCs/>
          <w:color w:val="auto"/>
          <w:sz w:val="24"/>
          <w:lang w:val="en-US" w:eastAsia="zh-CN"/>
        </w:rPr>
        <w:t>六</w:t>
      </w:r>
      <w:r>
        <w:rPr>
          <w:rFonts w:hint="eastAsia" w:ascii="宋体"/>
          <w:b/>
          <w:bCs/>
          <w:color w:val="auto"/>
          <w:sz w:val="24"/>
        </w:rPr>
        <w:t>条</w:t>
      </w:r>
      <w:r>
        <w:rPr>
          <w:rFonts w:hint="eastAsia" w:ascii="宋体"/>
          <w:b/>
          <w:bCs/>
          <w:color w:val="auto"/>
          <w:sz w:val="24"/>
          <w:lang w:val="en-US" w:eastAsia="zh-CN"/>
        </w:rPr>
        <w:t>、施工安全：</w:t>
      </w:r>
    </w:p>
    <w:p w14:paraId="4A4E88F8">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hint="eastAsia" w:ascii="宋体"/>
          <w:color w:val="auto"/>
          <w:sz w:val="24"/>
          <w:lang w:val="en-US" w:eastAsia="zh-CN"/>
        </w:rPr>
      </w:pPr>
      <w:r>
        <w:rPr>
          <w:rFonts w:hint="eastAsia" w:ascii="宋体"/>
          <w:color w:val="auto"/>
          <w:sz w:val="24"/>
          <w:lang w:val="en-US" w:eastAsia="zh-CN"/>
        </w:rPr>
        <w:t>1、乙方在进现场施工前必须对施工人员进行安全教育，严禁施工人员接触与本工程无关的物品、设备。在拆卸、搬迁中，如导致甲方其它物品、设施损坏，乙方须按照物品现值补偿。因乙方因素导致甲方及第三方人身损害的由乙方承担补偿责任。</w:t>
      </w:r>
    </w:p>
    <w:p w14:paraId="1B4846F1">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hint="eastAsia" w:ascii="宋体"/>
          <w:color w:val="auto"/>
          <w:sz w:val="24"/>
          <w:lang w:val="en-US" w:eastAsia="zh-CN"/>
        </w:rPr>
      </w:pPr>
      <w:r>
        <w:rPr>
          <w:rFonts w:hint="eastAsia" w:ascii="宋体"/>
          <w:color w:val="auto"/>
          <w:sz w:val="24"/>
          <w:lang w:val="en-US" w:eastAsia="zh-CN"/>
        </w:rPr>
        <w:t>2、乙方在施工过程中不得产生废水、废气、废渣等污染物，在拆卸、清理、回收完毕后应负责清理现场。</w:t>
      </w:r>
    </w:p>
    <w:p w14:paraId="7CC0481F">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hint="eastAsia" w:ascii="宋体"/>
          <w:color w:val="auto"/>
          <w:sz w:val="24"/>
          <w:lang w:val="en-US" w:eastAsia="zh-CN"/>
        </w:rPr>
      </w:pPr>
      <w:r>
        <w:rPr>
          <w:rFonts w:hint="eastAsia" w:ascii="宋体"/>
          <w:color w:val="auto"/>
          <w:sz w:val="24"/>
          <w:lang w:val="en-US" w:eastAsia="zh-CN"/>
        </w:rPr>
        <w:t>3、乙方施工不得采用可能影响甲方房屋、其他设备安全的施工方法和工具。</w:t>
      </w:r>
    </w:p>
    <w:p w14:paraId="38C85715">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hint="eastAsia" w:ascii="宋体"/>
          <w:color w:val="auto"/>
          <w:sz w:val="24"/>
          <w:lang w:val="en-US" w:eastAsia="zh-CN"/>
        </w:rPr>
      </w:pPr>
      <w:r>
        <w:rPr>
          <w:rFonts w:hint="eastAsia" w:ascii="宋体"/>
          <w:color w:val="auto"/>
          <w:sz w:val="24"/>
          <w:lang w:val="en-US" w:eastAsia="zh-CN"/>
        </w:rPr>
        <w:t>4、拆卸、搬运过程属于吊装等危险作业的乙方必须配备现场安全管理员，应按有关规定采用严格的安全防护措施，并承担由于自身安全措施设置不妥导致事故的责任及因此发生的费用。发生重大伤亡事故的，乙方应承担全部责任。</w:t>
      </w:r>
    </w:p>
    <w:p w14:paraId="7AA88C25">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2" w:firstLineChars="200"/>
        <w:textAlignment w:val="auto"/>
        <w:rPr>
          <w:rFonts w:ascii="宋体"/>
          <w:b/>
          <w:bCs/>
          <w:color w:val="auto"/>
          <w:sz w:val="24"/>
        </w:rPr>
      </w:pPr>
      <w:r>
        <w:rPr>
          <w:rFonts w:hint="eastAsia" w:ascii="宋体"/>
          <w:b/>
          <w:bCs/>
          <w:color w:val="auto"/>
          <w:sz w:val="24"/>
        </w:rPr>
        <w:t>第</w:t>
      </w:r>
      <w:r>
        <w:rPr>
          <w:rFonts w:hint="eastAsia" w:ascii="宋体"/>
          <w:b/>
          <w:bCs/>
          <w:color w:val="auto"/>
          <w:sz w:val="24"/>
          <w:lang w:val="en-US" w:eastAsia="zh-CN"/>
        </w:rPr>
        <w:t>七</w:t>
      </w:r>
      <w:r>
        <w:rPr>
          <w:rFonts w:hint="eastAsia" w:ascii="宋体"/>
          <w:b/>
          <w:bCs/>
          <w:color w:val="auto"/>
          <w:sz w:val="24"/>
        </w:rPr>
        <w:t>条、违约责任</w:t>
      </w:r>
    </w:p>
    <w:p w14:paraId="3970BDE0">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hint="eastAsia" w:ascii="宋体"/>
          <w:color w:val="auto"/>
          <w:sz w:val="24"/>
          <w:lang w:val="en-US" w:eastAsia="zh-CN"/>
        </w:rPr>
      </w:pPr>
      <w:r>
        <w:rPr>
          <w:rFonts w:hint="eastAsia" w:ascii="宋体" w:eastAsia="宋体"/>
          <w:color w:val="auto"/>
          <w:sz w:val="24"/>
        </w:rPr>
        <w:t>1、乙方</w:t>
      </w:r>
      <w:r>
        <w:rPr>
          <w:rFonts w:hint="eastAsia" w:ascii="宋体" w:eastAsia="宋体"/>
          <w:color w:val="auto"/>
          <w:sz w:val="24"/>
          <w:lang w:val="en-US" w:eastAsia="zh-CN"/>
        </w:rPr>
        <w:t>应严格遵守国家法律、法规的规定对废旧</w:t>
      </w:r>
      <w:r>
        <w:rPr>
          <w:rFonts w:hint="eastAsia" w:ascii="宋体"/>
          <w:color w:val="auto"/>
          <w:sz w:val="24"/>
          <w:lang w:val="en-US" w:eastAsia="zh-CN"/>
        </w:rPr>
        <w:t>物质</w:t>
      </w:r>
      <w:r>
        <w:rPr>
          <w:rFonts w:hint="eastAsia" w:ascii="宋体" w:eastAsia="宋体"/>
          <w:color w:val="auto"/>
          <w:sz w:val="24"/>
          <w:lang w:val="en-US" w:eastAsia="zh-CN"/>
        </w:rPr>
        <w:t>进行处置，聘请具备专业资格的人员进行拆卸</w:t>
      </w:r>
      <w:r>
        <w:rPr>
          <w:rFonts w:hint="eastAsia" w:ascii="宋体"/>
          <w:color w:val="auto"/>
          <w:sz w:val="24"/>
          <w:lang w:val="en-US" w:eastAsia="zh-CN"/>
        </w:rPr>
        <w:t>、搬运</w:t>
      </w:r>
      <w:r>
        <w:rPr>
          <w:rFonts w:hint="eastAsia" w:ascii="宋体" w:eastAsia="宋体"/>
          <w:color w:val="auto"/>
          <w:sz w:val="24"/>
          <w:lang w:val="en-US" w:eastAsia="zh-CN"/>
        </w:rPr>
        <w:t>工作，</w:t>
      </w:r>
      <w:r>
        <w:rPr>
          <w:rFonts w:hint="eastAsia" w:ascii="宋体"/>
          <w:color w:val="auto"/>
          <w:sz w:val="24"/>
          <w:lang w:val="en-US" w:eastAsia="zh-CN"/>
        </w:rPr>
        <w:t>乙方在拆卸、回收、销售或以其他方式处置废旧物资过程中产生的质量、安全等问题或出现意外事故的，甲方不承担任何责任，由此产生的一切责任及后果由乙方承担。</w:t>
      </w:r>
    </w:p>
    <w:p w14:paraId="72CB9303">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ascii="宋体"/>
          <w:color w:val="auto"/>
          <w:sz w:val="24"/>
          <w:lang w:val="en-US" w:eastAsia="zh-CN"/>
        </w:rPr>
      </w:pPr>
      <w:r>
        <w:rPr>
          <w:rFonts w:hint="eastAsia" w:ascii="宋体"/>
          <w:color w:val="auto"/>
          <w:sz w:val="24"/>
          <w:lang w:val="en-US" w:eastAsia="zh-CN"/>
        </w:rPr>
        <w:t>2、乙方在处理废旧物资时，应以不危害、破坏环境为前提，遵守国家关于环保、安全等方面的法律法规。否则，由此造成的后果均由乙方承担。</w:t>
      </w:r>
    </w:p>
    <w:p w14:paraId="0322018B">
      <w:pPr>
        <w:keepNext w:val="0"/>
        <w:keepLines w:val="0"/>
        <w:pageBreakBefore w:val="0"/>
        <w:widowControl w:val="0"/>
        <w:tabs>
          <w:tab w:val="left" w:pos="1410"/>
        </w:tabs>
        <w:kinsoku/>
        <w:wordWrap/>
        <w:overflowPunct/>
        <w:topLinePunct w:val="0"/>
        <w:autoSpaceDE/>
        <w:autoSpaceDN/>
        <w:bidi w:val="0"/>
        <w:spacing w:line="360" w:lineRule="auto"/>
        <w:ind w:firstLine="480" w:firstLineChars="200"/>
        <w:textAlignment w:val="auto"/>
        <w:rPr>
          <w:rFonts w:ascii="宋体" w:eastAsia="宋体"/>
          <w:color w:val="auto"/>
          <w:sz w:val="24"/>
        </w:rPr>
      </w:pPr>
      <w:r>
        <w:rPr>
          <w:rFonts w:hint="eastAsia" w:ascii="宋体" w:eastAsia="宋体"/>
          <w:color w:val="auto"/>
          <w:sz w:val="24"/>
          <w:lang w:val="en-US" w:eastAsia="zh-CN"/>
        </w:rPr>
        <w:t>3</w:t>
      </w:r>
      <w:r>
        <w:rPr>
          <w:rFonts w:hint="eastAsia" w:ascii="宋体" w:eastAsia="宋体"/>
          <w:color w:val="auto"/>
          <w:sz w:val="24"/>
        </w:rPr>
        <w:t>、乙方逾期</w:t>
      </w:r>
      <w:r>
        <w:rPr>
          <w:rFonts w:hint="eastAsia" w:ascii="宋体" w:eastAsia="宋体"/>
          <w:color w:val="auto"/>
          <w:sz w:val="24"/>
          <w:lang w:val="en-US" w:eastAsia="zh-CN"/>
        </w:rPr>
        <w:t>支付全额回收款的</w:t>
      </w:r>
      <w:r>
        <w:rPr>
          <w:rFonts w:hint="eastAsia" w:ascii="宋体" w:eastAsia="宋体"/>
          <w:color w:val="auto"/>
          <w:sz w:val="24"/>
        </w:rPr>
        <w:t>，每逾期1日，则每日应向甲方支付相当于</w:t>
      </w:r>
      <w:r>
        <w:rPr>
          <w:rFonts w:hint="eastAsia" w:ascii="宋体" w:eastAsia="宋体"/>
          <w:color w:val="auto"/>
          <w:sz w:val="24"/>
          <w:lang w:val="en-US" w:eastAsia="zh-CN"/>
        </w:rPr>
        <w:t>应付</w:t>
      </w:r>
      <w:r>
        <w:rPr>
          <w:rFonts w:hint="eastAsia" w:ascii="宋体" w:eastAsia="宋体"/>
          <w:color w:val="auto"/>
          <w:sz w:val="24"/>
        </w:rPr>
        <w:t>款1</w:t>
      </w:r>
      <w:r>
        <w:rPr>
          <w:rFonts w:hint="eastAsia" w:ascii="宋体"/>
          <w:color w:val="auto"/>
          <w:sz w:val="24"/>
          <w:lang w:val="en-US" w:eastAsia="zh-CN"/>
        </w:rPr>
        <w:t>%</w:t>
      </w:r>
      <w:r>
        <w:rPr>
          <w:rFonts w:hint="eastAsia" w:ascii="宋体" w:eastAsia="宋体"/>
          <w:color w:val="auto"/>
          <w:sz w:val="24"/>
        </w:rPr>
        <w:t>的违约金，并</w:t>
      </w:r>
      <w:r>
        <w:rPr>
          <w:rFonts w:hint="eastAsia" w:ascii="宋体" w:eastAsia="宋体"/>
          <w:color w:val="auto"/>
          <w:sz w:val="24"/>
          <w:lang w:val="en-US" w:eastAsia="zh-CN"/>
        </w:rPr>
        <w:t>赔偿</w:t>
      </w:r>
      <w:r>
        <w:rPr>
          <w:rFonts w:hint="eastAsia" w:ascii="宋体" w:eastAsia="宋体"/>
          <w:color w:val="auto"/>
          <w:sz w:val="24"/>
        </w:rPr>
        <w:t>甲方因此所受的损失。乙方逾期</w:t>
      </w:r>
      <w:r>
        <w:rPr>
          <w:rFonts w:hint="eastAsia" w:ascii="宋体" w:eastAsia="宋体"/>
          <w:color w:val="auto"/>
          <w:sz w:val="24"/>
          <w:lang w:val="en-US" w:eastAsia="zh-CN"/>
        </w:rPr>
        <w:t>付款满30日，</w:t>
      </w:r>
      <w:r>
        <w:rPr>
          <w:rFonts w:hint="eastAsia" w:ascii="宋体" w:eastAsia="宋体"/>
          <w:color w:val="auto"/>
          <w:sz w:val="24"/>
        </w:rPr>
        <w:t>甲方有权解除合同</w:t>
      </w:r>
      <w:r>
        <w:rPr>
          <w:rFonts w:hint="eastAsia" w:ascii="宋体" w:eastAsia="宋体"/>
          <w:color w:val="auto"/>
          <w:sz w:val="24"/>
          <w:lang w:eastAsia="zh-CN"/>
        </w:rPr>
        <w:t>，</w:t>
      </w:r>
      <w:r>
        <w:rPr>
          <w:rFonts w:hint="eastAsia" w:ascii="宋体" w:eastAsia="宋体"/>
          <w:color w:val="auto"/>
          <w:sz w:val="24"/>
          <w:lang w:val="en-US" w:eastAsia="zh-CN"/>
        </w:rPr>
        <w:t>并对未提清物资另行处置，乙方已支付款项甲方不予返还</w:t>
      </w:r>
      <w:r>
        <w:rPr>
          <w:rFonts w:hint="eastAsia" w:ascii="宋体" w:eastAsia="宋体"/>
          <w:color w:val="auto"/>
          <w:sz w:val="24"/>
        </w:rPr>
        <w:t>。</w:t>
      </w:r>
    </w:p>
    <w:p w14:paraId="26A1C42D">
      <w:pPr>
        <w:keepNext w:val="0"/>
        <w:keepLines w:val="0"/>
        <w:pageBreakBefore w:val="0"/>
        <w:widowControl w:val="0"/>
        <w:tabs>
          <w:tab w:val="left" w:pos="1410"/>
        </w:tabs>
        <w:kinsoku/>
        <w:wordWrap/>
        <w:overflowPunct/>
        <w:topLinePunct w:val="0"/>
        <w:autoSpaceDE/>
        <w:autoSpaceDN/>
        <w:bidi w:val="0"/>
        <w:spacing w:line="360" w:lineRule="auto"/>
        <w:ind w:firstLine="480" w:firstLineChars="200"/>
        <w:textAlignment w:val="auto"/>
        <w:rPr>
          <w:rFonts w:ascii="宋体" w:eastAsia="宋体"/>
          <w:color w:val="auto"/>
          <w:sz w:val="24"/>
        </w:rPr>
      </w:pPr>
      <w:r>
        <w:rPr>
          <w:rFonts w:hint="eastAsia" w:ascii="宋体" w:eastAsia="宋体"/>
          <w:color w:val="auto"/>
          <w:sz w:val="24"/>
          <w:lang w:val="en-US" w:eastAsia="zh-CN"/>
        </w:rPr>
        <w:t>4</w:t>
      </w:r>
      <w:r>
        <w:rPr>
          <w:rFonts w:hint="eastAsia" w:ascii="宋体" w:eastAsia="宋体"/>
          <w:color w:val="auto"/>
          <w:sz w:val="24"/>
        </w:rPr>
        <w:t>、乙方</w:t>
      </w:r>
      <w:r>
        <w:rPr>
          <w:rFonts w:hint="eastAsia" w:ascii="宋体" w:eastAsia="宋体"/>
          <w:color w:val="auto"/>
          <w:sz w:val="24"/>
          <w:lang w:val="en-US" w:eastAsia="zh-CN"/>
        </w:rPr>
        <w:t>未按约定期限拆卸、提清全部物资并清理现场的，</w:t>
      </w:r>
      <w:r>
        <w:rPr>
          <w:rFonts w:hint="eastAsia" w:ascii="宋体" w:eastAsia="宋体"/>
          <w:color w:val="auto"/>
          <w:sz w:val="24"/>
        </w:rPr>
        <w:t>每逾期1日，则每日应向甲方支付</w:t>
      </w:r>
      <w:r>
        <w:rPr>
          <w:rFonts w:hint="eastAsia" w:ascii="宋体" w:eastAsia="宋体"/>
          <w:color w:val="auto"/>
          <w:sz w:val="24"/>
          <w:u w:val="single"/>
          <w:lang w:val="en-US" w:eastAsia="zh-CN"/>
        </w:rPr>
        <w:t xml:space="preserve"> </w:t>
      </w:r>
      <w:r>
        <w:rPr>
          <w:rFonts w:hint="eastAsia" w:ascii="宋体"/>
          <w:color w:val="auto"/>
          <w:sz w:val="24"/>
          <w:u w:val="single"/>
          <w:lang w:val="en-US" w:eastAsia="zh-CN"/>
        </w:rPr>
        <w:t>5000</w:t>
      </w:r>
      <w:r>
        <w:rPr>
          <w:rFonts w:hint="eastAsia" w:ascii="宋体" w:eastAsia="宋体"/>
          <w:color w:val="auto"/>
          <w:sz w:val="24"/>
          <w:u w:val="single"/>
          <w:lang w:val="en-US" w:eastAsia="zh-CN"/>
        </w:rPr>
        <w:t xml:space="preserve"> </w:t>
      </w:r>
      <w:r>
        <w:rPr>
          <w:rFonts w:hint="eastAsia" w:ascii="宋体" w:eastAsia="宋体"/>
          <w:color w:val="auto"/>
          <w:sz w:val="24"/>
          <w:lang w:val="en-US" w:eastAsia="zh-CN"/>
        </w:rPr>
        <w:t>元保管费。</w:t>
      </w:r>
      <w:r>
        <w:rPr>
          <w:rFonts w:hint="eastAsia" w:ascii="宋体" w:eastAsia="宋体"/>
          <w:color w:val="auto"/>
          <w:sz w:val="24"/>
        </w:rPr>
        <w:t>乙方逾期</w:t>
      </w:r>
      <w:r>
        <w:rPr>
          <w:rFonts w:hint="eastAsia" w:ascii="宋体" w:eastAsia="宋体"/>
          <w:color w:val="auto"/>
          <w:sz w:val="24"/>
          <w:lang w:val="en-US" w:eastAsia="zh-CN"/>
        </w:rPr>
        <w:t>提</w:t>
      </w:r>
      <w:r>
        <w:rPr>
          <w:rFonts w:hint="eastAsia" w:ascii="宋体" w:eastAsia="宋体"/>
          <w:color w:val="auto"/>
          <w:sz w:val="24"/>
        </w:rPr>
        <w:t>货</w:t>
      </w:r>
      <w:r>
        <w:rPr>
          <w:rFonts w:hint="eastAsia" w:ascii="宋体"/>
          <w:bCs/>
          <w:color w:val="auto"/>
          <w:sz w:val="24"/>
        </w:rPr>
        <w:t>满</w:t>
      </w:r>
      <w:r>
        <w:rPr>
          <w:rFonts w:hint="eastAsia" w:ascii="宋体" w:eastAsia="宋体"/>
          <w:color w:val="auto"/>
          <w:sz w:val="24"/>
        </w:rPr>
        <w:t>30日，甲方有权解除合同</w:t>
      </w:r>
      <w:r>
        <w:rPr>
          <w:rFonts w:hint="eastAsia" w:ascii="宋体" w:eastAsia="宋体"/>
          <w:color w:val="auto"/>
          <w:sz w:val="24"/>
          <w:lang w:eastAsia="zh-CN"/>
        </w:rPr>
        <w:t>，</w:t>
      </w:r>
      <w:r>
        <w:rPr>
          <w:rFonts w:hint="eastAsia" w:ascii="宋体" w:eastAsia="宋体"/>
          <w:color w:val="auto"/>
          <w:sz w:val="24"/>
          <w:lang w:val="en-US" w:eastAsia="zh-CN"/>
        </w:rPr>
        <w:t>并对未提清物资另行处置，乙方已支付款项甲方不予返还</w:t>
      </w:r>
      <w:r>
        <w:rPr>
          <w:rFonts w:hint="eastAsia" w:ascii="宋体" w:eastAsia="宋体"/>
          <w:color w:val="auto"/>
          <w:sz w:val="24"/>
        </w:rPr>
        <w:t>。</w:t>
      </w:r>
    </w:p>
    <w:p w14:paraId="7C3BF42F">
      <w:pPr>
        <w:keepNext w:val="0"/>
        <w:keepLines w:val="0"/>
        <w:pageBreakBefore w:val="0"/>
        <w:widowControl w:val="0"/>
        <w:tabs>
          <w:tab w:val="left" w:pos="1410"/>
        </w:tabs>
        <w:kinsoku/>
        <w:wordWrap/>
        <w:overflowPunct/>
        <w:topLinePunct w:val="0"/>
        <w:autoSpaceDE/>
        <w:autoSpaceDN/>
        <w:bidi w:val="0"/>
        <w:spacing w:line="360" w:lineRule="auto"/>
        <w:ind w:firstLine="480" w:firstLineChars="200"/>
        <w:textAlignment w:val="auto"/>
        <w:rPr>
          <w:rFonts w:ascii="宋体" w:eastAsia="宋体"/>
          <w:color w:val="auto"/>
          <w:sz w:val="24"/>
        </w:rPr>
      </w:pPr>
      <w:r>
        <w:rPr>
          <w:rFonts w:hint="eastAsia" w:ascii="宋体" w:eastAsia="宋体"/>
          <w:color w:val="auto"/>
          <w:sz w:val="24"/>
          <w:lang w:val="en-US" w:eastAsia="zh-CN"/>
        </w:rPr>
        <w:t>5</w:t>
      </w:r>
      <w:r>
        <w:rPr>
          <w:rFonts w:hint="eastAsia" w:ascii="宋体" w:eastAsia="宋体"/>
          <w:color w:val="auto"/>
          <w:sz w:val="24"/>
        </w:rPr>
        <w:t>、</w:t>
      </w:r>
      <w:r>
        <w:rPr>
          <w:rFonts w:hint="eastAsia" w:ascii="宋体" w:eastAsia="宋体"/>
          <w:color w:val="auto"/>
          <w:sz w:val="24"/>
          <w:lang w:val="en-US" w:eastAsia="zh-CN"/>
        </w:rPr>
        <w:t>甲方根据前述第2条、第3条解除本合同而另行处置本合同废旧</w:t>
      </w:r>
      <w:r>
        <w:rPr>
          <w:rFonts w:hint="eastAsia" w:ascii="宋体"/>
          <w:color w:val="auto"/>
          <w:sz w:val="24"/>
          <w:lang w:val="en-US" w:eastAsia="zh-CN"/>
        </w:rPr>
        <w:t>物质</w:t>
      </w:r>
      <w:r>
        <w:rPr>
          <w:rFonts w:hint="eastAsia" w:ascii="宋体" w:eastAsia="宋体"/>
          <w:color w:val="auto"/>
          <w:sz w:val="24"/>
          <w:lang w:val="en-US" w:eastAsia="zh-CN"/>
        </w:rPr>
        <w:t>的，如另行处置价款低于本合同约定价款，由此产生的差额应由乙方向甲方补足</w:t>
      </w:r>
      <w:r>
        <w:rPr>
          <w:rFonts w:hint="eastAsia" w:ascii="宋体" w:eastAsia="宋体"/>
          <w:color w:val="auto"/>
          <w:sz w:val="24"/>
        </w:rPr>
        <w:t>。</w:t>
      </w:r>
    </w:p>
    <w:p w14:paraId="0A71445B">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ascii="宋体"/>
          <w:color w:val="auto"/>
          <w:sz w:val="24"/>
        </w:rPr>
      </w:pPr>
      <w:r>
        <w:rPr>
          <w:rFonts w:hint="eastAsia" w:ascii="宋体"/>
          <w:color w:val="auto"/>
          <w:sz w:val="24"/>
          <w:lang w:val="en-US" w:eastAsia="zh-CN"/>
        </w:rPr>
        <w:t>6、</w:t>
      </w:r>
      <w:r>
        <w:rPr>
          <w:rFonts w:ascii="宋体"/>
          <w:color w:val="auto"/>
          <w:sz w:val="24"/>
        </w:rPr>
        <w:t>甲方违反合同规定</w:t>
      </w:r>
      <w:r>
        <w:rPr>
          <w:rFonts w:hint="eastAsia" w:ascii="宋体"/>
          <w:color w:val="auto"/>
          <w:sz w:val="24"/>
        </w:rPr>
        <w:t>且没有正当理由而</w:t>
      </w:r>
      <w:r>
        <w:rPr>
          <w:rFonts w:ascii="宋体"/>
          <w:color w:val="auto"/>
          <w:sz w:val="24"/>
        </w:rPr>
        <w:t>拒绝</w:t>
      </w:r>
      <w:r>
        <w:rPr>
          <w:rFonts w:hint="eastAsia" w:ascii="宋体"/>
          <w:color w:val="auto"/>
          <w:sz w:val="24"/>
          <w:lang w:val="en-US" w:eastAsia="zh-CN"/>
        </w:rPr>
        <w:t>乙方提</w:t>
      </w:r>
      <w:r>
        <w:rPr>
          <w:rFonts w:ascii="宋体"/>
          <w:color w:val="auto"/>
          <w:sz w:val="24"/>
        </w:rPr>
        <w:t>货的，应当承担由此对乙方造成的损失。</w:t>
      </w:r>
    </w:p>
    <w:p w14:paraId="4A9EAF48">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2" w:firstLineChars="200"/>
        <w:textAlignment w:val="auto"/>
        <w:rPr>
          <w:rFonts w:ascii="宋体"/>
          <w:b/>
          <w:bCs/>
          <w:color w:val="auto"/>
          <w:sz w:val="24"/>
        </w:rPr>
      </w:pPr>
      <w:r>
        <w:rPr>
          <w:rFonts w:hint="eastAsia" w:ascii="宋体"/>
          <w:b/>
          <w:bCs/>
          <w:color w:val="auto"/>
          <w:sz w:val="24"/>
        </w:rPr>
        <w:t>第</w:t>
      </w:r>
      <w:r>
        <w:rPr>
          <w:rFonts w:hint="eastAsia" w:ascii="宋体"/>
          <w:b/>
          <w:bCs/>
          <w:color w:val="auto"/>
          <w:sz w:val="24"/>
          <w:lang w:val="en-US" w:eastAsia="zh-CN"/>
        </w:rPr>
        <w:t>八</w:t>
      </w:r>
      <w:r>
        <w:rPr>
          <w:rFonts w:hint="eastAsia" w:ascii="宋体"/>
          <w:b/>
          <w:bCs/>
          <w:color w:val="auto"/>
          <w:sz w:val="24"/>
        </w:rPr>
        <w:t>条、不可抗力</w:t>
      </w:r>
    </w:p>
    <w:p w14:paraId="4717C576">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ascii="宋体"/>
          <w:color w:val="auto"/>
          <w:sz w:val="24"/>
        </w:rPr>
      </w:pPr>
      <w:r>
        <w:rPr>
          <w:rFonts w:hint="eastAsia" w:ascii="宋体"/>
          <w:color w:val="auto"/>
          <w:sz w:val="24"/>
        </w:rPr>
        <w:t>甲乙双方任何一方由于不可抗力原因不能履行合同时，应及时向对方通报不能履行或不能完全履行的理由，以减轻可能给对方造成的损失，在取得有关机构证明后，允许延期履行、部分履行或不履行合同，并根据情况可部分或全部免予承担违约责任。</w:t>
      </w:r>
    </w:p>
    <w:p w14:paraId="60E8A2E8">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2" w:firstLineChars="200"/>
        <w:textAlignment w:val="auto"/>
        <w:rPr>
          <w:rFonts w:ascii="宋体"/>
          <w:b/>
          <w:bCs/>
          <w:color w:val="auto"/>
          <w:sz w:val="24"/>
        </w:rPr>
      </w:pPr>
      <w:r>
        <w:rPr>
          <w:rFonts w:hint="eastAsia" w:ascii="宋体"/>
          <w:b/>
          <w:bCs/>
          <w:color w:val="auto"/>
          <w:sz w:val="24"/>
        </w:rPr>
        <w:t>第</w:t>
      </w:r>
      <w:r>
        <w:rPr>
          <w:rFonts w:hint="eastAsia" w:ascii="宋体"/>
          <w:b/>
          <w:bCs/>
          <w:color w:val="auto"/>
          <w:sz w:val="24"/>
          <w:lang w:val="en-US" w:eastAsia="zh-CN"/>
        </w:rPr>
        <w:t>九</w:t>
      </w:r>
      <w:r>
        <w:rPr>
          <w:rFonts w:hint="eastAsia" w:ascii="宋体"/>
          <w:b/>
          <w:bCs/>
          <w:color w:val="auto"/>
          <w:sz w:val="24"/>
        </w:rPr>
        <w:t>条、争议的解决</w:t>
      </w:r>
    </w:p>
    <w:p w14:paraId="2A34C927">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ascii="宋体"/>
          <w:color w:val="auto"/>
          <w:sz w:val="24"/>
        </w:rPr>
      </w:pPr>
      <w:r>
        <w:rPr>
          <w:rFonts w:ascii="宋体"/>
          <w:color w:val="auto"/>
          <w:sz w:val="24"/>
        </w:rPr>
        <w:t>1、</w:t>
      </w:r>
      <w:r>
        <w:rPr>
          <w:rFonts w:ascii="宋体" w:eastAsia="宋体"/>
          <w:color w:val="auto"/>
          <w:sz w:val="24"/>
        </w:rPr>
        <w:t>因</w:t>
      </w:r>
      <w:r>
        <w:rPr>
          <w:rFonts w:hint="eastAsia" w:ascii="宋体" w:eastAsia="宋体"/>
          <w:color w:val="auto"/>
          <w:sz w:val="24"/>
        </w:rPr>
        <w:t>履</w:t>
      </w:r>
      <w:r>
        <w:rPr>
          <w:rFonts w:ascii="宋体" w:eastAsia="宋体"/>
          <w:color w:val="auto"/>
          <w:sz w:val="24"/>
        </w:rPr>
        <w:t>行</w:t>
      </w:r>
      <w:r>
        <w:rPr>
          <w:rFonts w:ascii="宋体"/>
          <w:color w:val="auto"/>
          <w:sz w:val="24"/>
        </w:rPr>
        <w:t>本合同发生纠纷，当事人双方应</w:t>
      </w:r>
      <w:r>
        <w:rPr>
          <w:rFonts w:hint="eastAsia" w:ascii="宋体"/>
          <w:color w:val="auto"/>
          <w:sz w:val="24"/>
        </w:rPr>
        <w:t>当及时协商解决，协商不成的，依法向</w:t>
      </w:r>
      <w:r>
        <w:rPr>
          <w:rFonts w:hint="eastAsia" w:ascii="宋体"/>
          <w:color w:val="auto"/>
          <w:sz w:val="24"/>
          <w:u w:val="single"/>
          <w:lang w:val="en-US" w:eastAsia="zh-CN"/>
        </w:rPr>
        <w:t xml:space="preserve"> 东至县 </w:t>
      </w:r>
      <w:r>
        <w:rPr>
          <w:rFonts w:hint="eastAsia" w:ascii="宋体"/>
          <w:color w:val="auto"/>
          <w:sz w:val="24"/>
        </w:rPr>
        <w:t>人民法院提起诉讼。</w:t>
      </w:r>
    </w:p>
    <w:p w14:paraId="7571E3C6">
      <w:pPr>
        <w:keepNext w:val="0"/>
        <w:keepLines w:val="0"/>
        <w:pageBreakBefore w:val="0"/>
        <w:widowControl w:val="0"/>
        <w:tabs>
          <w:tab w:val="left" w:pos="1410"/>
        </w:tabs>
        <w:kinsoku/>
        <w:wordWrap/>
        <w:overflowPunct/>
        <w:topLinePunct w:val="0"/>
        <w:autoSpaceDE/>
        <w:autoSpaceDN/>
        <w:bidi w:val="0"/>
        <w:spacing w:line="360" w:lineRule="auto"/>
        <w:ind w:firstLine="480" w:firstLineChars="200"/>
        <w:textAlignment w:val="auto"/>
        <w:rPr>
          <w:rFonts w:ascii="宋体" w:eastAsia="宋体"/>
          <w:color w:val="auto"/>
          <w:sz w:val="24"/>
        </w:rPr>
      </w:pPr>
      <w:r>
        <w:rPr>
          <w:rFonts w:hint="eastAsia" w:ascii="宋体" w:eastAsia="宋体"/>
          <w:color w:val="auto"/>
          <w:sz w:val="24"/>
          <w:lang w:val="en-US" w:eastAsia="zh-CN"/>
        </w:rPr>
        <w:t>2</w:t>
      </w:r>
      <w:r>
        <w:rPr>
          <w:rFonts w:hint="eastAsia" w:ascii="宋体" w:eastAsia="宋体"/>
          <w:color w:val="auto"/>
          <w:sz w:val="24"/>
        </w:rPr>
        <w:t>、本合同所称之损失包括实际损失和合同履行后可以获得的利益、诉讼费以及合理的调查费、律师费等相关法律费用。</w:t>
      </w:r>
    </w:p>
    <w:p w14:paraId="7ED2BB08">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2" w:firstLineChars="200"/>
        <w:textAlignment w:val="auto"/>
        <w:rPr>
          <w:rFonts w:ascii="宋体"/>
          <w:b/>
          <w:bCs/>
          <w:color w:val="auto"/>
          <w:sz w:val="24"/>
        </w:rPr>
      </w:pPr>
      <w:r>
        <w:rPr>
          <w:rFonts w:hint="eastAsia" w:ascii="宋体"/>
          <w:b/>
          <w:bCs/>
          <w:color w:val="auto"/>
          <w:sz w:val="24"/>
        </w:rPr>
        <w:t>第</w:t>
      </w:r>
      <w:r>
        <w:rPr>
          <w:rFonts w:hint="eastAsia" w:ascii="宋体"/>
          <w:b/>
          <w:bCs/>
          <w:color w:val="auto"/>
          <w:sz w:val="24"/>
          <w:lang w:val="en-US" w:eastAsia="zh-CN"/>
        </w:rPr>
        <w:t>十</w:t>
      </w:r>
      <w:r>
        <w:rPr>
          <w:rFonts w:hint="eastAsia" w:ascii="宋体"/>
          <w:b/>
          <w:bCs/>
          <w:color w:val="auto"/>
          <w:sz w:val="24"/>
        </w:rPr>
        <w:t>条、附则</w:t>
      </w:r>
    </w:p>
    <w:p w14:paraId="12110E15">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ascii="宋体"/>
          <w:color w:val="auto"/>
          <w:sz w:val="24"/>
        </w:rPr>
      </w:pPr>
      <w:r>
        <w:rPr>
          <w:rFonts w:hint="eastAsia" w:ascii="宋体"/>
          <w:color w:val="auto"/>
          <w:sz w:val="24"/>
        </w:rPr>
        <w:t>1、本合同一式</w:t>
      </w:r>
      <w:r>
        <w:rPr>
          <w:rFonts w:hint="eastAsia" w:ascii="宋体"/>
          <w:color w:val="auto"/>
          <w:sz w:val="24"/>
          <w:u w:val="single"/>
          <w:lang w:val="en-US" w:eastAsia="zh-CN"/>
        </w:rPr>
        <w:t xml:space="preserve"> 肆 </w:t>
      </w:r>
      <w:r>
        <w:rPr>
          <w:rFonts w:hint="eastAsia" w:ascii="宋体"/>
          <w:color w:val="auto"/>
          <w:sz w:val="24"/>
        </w:rPr>
        <w:t>份，甲乙双方各执</w:t>
      </w:r>
      <w:r>
        <w:rPr>
          <w:rFonts w:hint="eastAsia" w:ascii="宋体"/>
          <w:color w:val="auto"/>
          <w:sz w:val="24"/>
          <w:u w:val="single"/>
          <w:lang w:val="en-US" w:eastAsia="zh-CN"/>
        </w:rPr>
        <w:t xml:space="preserve"> 贰 </w:t>
      </w:r>
      <w:r>
        <w:rPr>
          <w:rFonts w:hint="eastAsia" w:ascii="宋体"/>
          <w:color w:val="auto"/>
          <w:sz w:val="24"/>
        </w:rPr>
        <w:t>份</w:t>
      </w:r>
      <w:r>
        <w:rPr>
          <w:rFonts w:hint="eastAsia" w:ascii="宋体" w:eastAsia="宋体"/>
          <w:color w:val="auto"/>
          <w:sz w:val="24"/>
        </w:rPr>
        <w:t>，由双方签</w:t>
      </w:r>
      <w:r>
        <w:rPr>
          <w:rFonts w:hint="eastAsia" w:ascii="宋体"/>
          <w:color w:val="auto"/>
          <w:sz w:val="24"/>
          <w:lang w:val="en-US" w:eastAsia="zh-CN"/>
        </w:rPr>
        <w:t>字盖</w:t>
      </w:r>
      <w:r>
        <w:rPr>
          <w:rFonts w:hint="eastAsia" w:ascii="宋体" w:eastAsia="宋体"/>
          <w:color w:val="auto"/>
          <w:sz w:val="24"/>
        </w:rPr>
        <w:t>章之日起生效</w:t>
      </w:r>
      <w:r>
        <w:rPr>
          <w:rFonts w:hint="eastAsia" w:ascii="宋体"/>
          <w:color w:val="auto"/>
          <w:sz w:val="24"/>
          <w:lang w:eastAsia="zh-CN"/>
        </w:rPr>
        <w:t>，</w:t>
      </w:r>
      <w:r>
        <w:rPr>
          <w:rFonts w:hint="eastAsia" w:ascii="宋体"/>
          <w:color w:val="auto"/>
          <w:sz w:val="24"/>
          <w:lang w:val="en-US" w:eastAsia="zh-CN"/>
        </w:rPr>
        <w:t>具有同等效力</w:t>
      </w:r>
      <w:r>
        <w:rPr>
          <w:rFonts w:hint="eastAsia" w:ascii="宋体"/>
          <w:color w:val="auto"/>
          <w:sz w:val="24"/>
        </w:rPr>
        <w:t>。</w:t>
      </w:r>
    </w:p>
    <w:p w14:paraId="281764D7">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hint="eastAsia" w:ascii="宋体"/>
          <w:color w:val="auto"/>
          <w:sz w:val="24"/>
          <w:lang w:val="en-US" w:eastAsia="zh-CN"/>
        </w:rPr>
      </w:pPr>
      <w:r>
        <w:rPr>
          <w:rFonts w:hint="eastAsia" w:ascii="宋体"/>
          <w:color w:val="auto"/>
          <w:sz w:val="24"/>
        </w:rPr>
        <w:t>2、</w:t>
      </w:r>
      <w:r>
        <w:rPr>
          <w:rFonts w:hint="eastAsia" w:ascii="宋体"/>
          <w:color w:val="auto"/>
          <w:sz w:val="24"/>
          <w:lang w:val="en-US" w:eastAsia="zh-CN"/>
        </w:rPr>
        <w:t>以下文件为合同的重要组成部分：</w:t>
      </w:r>
    </w:p>
    <w:p w14:paraId="30DF564E">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hint="eastAsia" w:ascii="宋体"/>
          <w:bCs/>
          <w:color w:val="auto"/>
          <w:sz w:val="24"/>
          <w:lang w:eastAsia="zh-CN"/>
        </w:rPr>
      </w:pPr>
      <w:r>
        <w:rPr>
          <w:rFonts w:hint="eastAsia" w:ascii="宋体"/>
          <w:bCs/>
          <w:color w:val="auto"/>
          <w:sz w:val="24"/>
          <w:lang w:val="en-US" w:eastAsia="zh-CN"/>
        </w:rPr>
        <w:t>①、</w:t>
      </w:r>
      <w:r>
        <w:rPr>
          <w:rFonts w:hint="eastAsia" w:ascii="宋体"/>
          <w:bCs/>
          <w:color w:val="auto"/>
          <w:sz w:val="24"/>
          <w:lang w:eastAsia="zh-CN"/>
        </w:rPr>
        <w:t>《东至大渡口产业发展有限责任公司报废资产公开处置公告》</w:t>
      </w:r>
    </w:p>
    <w:p w14:paraId="7F391F56">
      <w:pPr>
        <w:keepNext w:val="0"/>
        <w:keepLines w:val="0"/>
        <w:pageBreakBefore w:val="0"/>
        <w:widowControl w:val="0"/>
        <w:tabs>
          <w:tab w:val="left" w:pos="1410"/>
        </w:tabs>
        <w:kinsoku/>
        <w:wordWrap/>
        <w:overflowPunct/>
        <w:topLinePunct w:val="0"/>
        <w:autoSpaceDE/>
        <w:autoSpaceDN/>
        <w:bidi w:val="0"/>
        <w:spacing w:line="360" w:lineRule="auto"/>
        <w:ind w:right="210" w:rightChars="100" w:firstLine="480" w:firstLineChars="200"/>
        <w:textAlignment w:val="auto"/>
        <w:rPr>
          <w:rFonts w:hint="eastAsia" w:ascii="宋体"/>
          <w:bCs/>
          <w:color w:val="auto"/>
          <w:sz w:val="24"/>
          <w:lang w:val="en-US" w:eastAsia="zh-CN"/>
        </w:rPr>
      </w:pPr>
      <w:r>
        <w:rPr>
          <w:rFonts w:hint="eastAsia" w:ascii="宋体"/>
          <w:bCs/>
          <w:color w:val="auto"/>
          <w:sz w:val="24"/>
          <w:lang w:val="en-US" w:eastAsia="zh-CN"/>
        </w:rPr>
        <w:t>②、乙方报价函。</w:t>
      </w:r>
    </w:p>
    <w:p w14:paraId="53F1C030">
      <w:pPr>
        <w:keepNext w:val="0"/>
        <w:keepLines w:val="0"/>
        <w:pageBreakBefore w:val="0"/>
        <w:widowControl w:val="0"/>
        <w:tabs>
          <w:tab w:val="left" w:pos="2835"/>
        </w:tabs>
        <w:kinsoku/>
        <w:wordWrap/>
        <w:overflowPunct/>
        <w:topLinePunct w:val="0"/>
        <w:autoSpaceDE/>
        <w:autoSpaceDN/>
        <w:bidi w:val="0"/>
        <w:spacing w:line="360" w:lineRule="auto"/>
        <w:textAlignment w:val="auto"/>
        <w:rPr>
          <w:rFonts w:ascii="宋体"/>
          <w:color w:val="auto"/>
          <w:sz w:val="24"/>
        </w:rPr>
      </w:pPr>
    </w:p>
    <w:p w14:paraId="74C237A7">
      <w:pPr>
        <w:keepNext w:val="0"/>
        <w:keepLines w:val="0"/>
        <w:pageBreakBefore w:val="0"/>
        <w:widowControl w:val="0"/>
        <w:tabs>
          <w:tab w:val="left" w:pos="2835"/>
        </w:tabs>
        <w:kinsoku/>
        <w:wordWrap/>
        <w:overflowPunct/>
        <w:topLinePunct w:val="0"/>
        <w:autoSpaceDE/>
        <w:autoSpaceDN/>
        <w:bidi w:val="0"/>
        <w:spacing w:line="360" w:lineRule="auto"/>
        <w:textAlignment w:val="auto"/>
        <w:rPr>
          <w:rFonts w:ascii="宋体"/>
          <w:b/>
          <w:bCs/>
          <w:color w:val="auto"/>
          <w:szCs w:val="21"/>
        </w:rPr>
      </w:pPr>
    </w:p>
    <w:tbl>
      <w:tblPr>
        <w:tblStyle w:val="1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61"/>
        <w:gridCol w:w="4261"/>
      </w:tblGrid>
      <w:tr w14:paraId="1692B7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14:paraId="2B8DBF78">
            <w:pPr>
              <w:keepNext w:val="0"/>
              <w:keepLines w:val="0"/>
              <w:pageBreakBefore w:val="0"/>
              <w:widowControl w:val="0"/>
              <w:tabs>
                <w:tab w:val="left" w:pos="2835"/>
              </w:tabs>
              <w:kinsoku/>
              <w:wordWrap/>
              <w:overflowPunct/>
              <w:topLinePunct w:val="0"/>
              <w:autoSpaceDE/>
              <w:autoSpaceDN/>
              <w:bidi w:val="0"/>
              <w:adjustRightInd/>
              <w:snapToGrid/>
              <w:spacing w:line="360" w:lineRule="auto"/>
              <w:textAlignment w:val="auto"/>
              <w:rPr>
                <w:rFonts w:hint="eastAsia" w:ascii="宋体" w:eastAsia="宋体"/>
                <w:color w:val="auto"/>
                <w:sz w:val="24"/>
                <w:szCs w:val="24"/>
              </w:rPr>
            </w:pPr>
            <w:r>
              <w:rPr>
                <w:rFonts w:hint="eastAsia" w:ascii="宋体" w:eastAsia="宋体"/>
                <w:color w:val="auto"/>
                <w:sz w:val="24"/>
                <w:szCs w:val="24"/>
              </w:rPr>
              <w:t>甲方（章）：</w:t>
            </w:r>
            <w:r>
              <w:rPr>
                <w:rFonts w:ascii="宋体" w:eastAsia="宋体"/>
                <w:color w:val="auto"/>
                <w:sz w:val="24"/>
                <w:szCs w:val="24"/>
              </w:rPr>
              <w:t xml:space="preserve"> </w:t>
            </w:r>
          </w:p>
          <w:p w14:paraId="14A17D55">
            <w:pPr>
              <w:keepNext w:val="0"/>
              <w:keepLines w:val="0"/>
              <w:pageBreakBefore w:val="0"/>
              <w:widowControl w:val="0"/>
              <w:tabs>
                <w:tab w:val="left" w:pos="2835"/>
              </w:tabs>
              <w:kinsoku/>
              <w:wordWrap/>
              <w:overflowPunct/>
              <w:topLinePunct w:val="0"/>
              <w:autoSpaceDE/>
              <w:autoSpaceDN/>
              <w:bidi w:val="0"/>
              <w:adjustRightInd/>
              <w:snapToGrid/>
              <w:spacing w:line="360" w:lineRule="auto"/>
              <w:textAlignment w:val="auto"/>
              <w:rPr>
                <w:rFonts w:hint="eastAsia" w:ascii="宋体" w:eastAsia="宋体"/>
                <w:color w:val="auto"/>
                <w:sz w:val="24"/>
                <w:szCs w:val="24"/>
              </w:rPr>
            </w:pPr>
          </w:p>
          <w:p w14:paraId="1529E46A">
            <w:pPr>
              <w:keepNext w:val="0"/>
              <w:keepLines w:val="0"/>
              <w:pageBreakBefore w:val="0"/>
              <w:widowControl w:val="0"/>
              <w:tabs>
                <w:tab w:val="left" w:pos="2835"/>
              </w:tabs>
              <w:kinsoku/>
              <w:wordWrap/>
              <w:overflowPunct/>
              <w:topLinePunct w:val="0"/>
              <w:autoSpaceDE/>
              <w:autoSpaceDN/>
              <w:bidi w:val="0"/>
              <w:adjustRightInd/>
              <w:snapToGrid/>
              <w:spacing w:line="360" w:lineRule="auto"/>
              <w:textAlignment w:val="auto"/>
              <w:rPr>
                <w:rFonts w:hint="eastAsia" w:ascii="宋体"/>
                <w:color w:val="auto"/>
                <w:sz w:val="24"/>
                <w:szCs w:val="24"/>
                <w:lang w:val="en-US" w:eastAsia="zh-CN"/>
              </w:rPr>
            </w:pPr>
            <w:r>
              <w:rPr>
                <w:rFonts w:hint="eastAsia" w:ascii="宋体" w:eastAsia="宋体"/>
                <w:color w:val="auto"/>
                <w:sz w:val="24"/>
                <w:szCs w:val="24"/>
              </w:rPr>
              <w:t>法定代表人</w:t>
            </w:r>
            <w:r>
              <w:rPr>
                <w:rFonts w:hint="eastAsia" w:ascii="宋体"/>
                <w:color w:val="auto"/>
                <w:sz w:val="24"/>
                <w:szCs w:val="24"/>
                <w:lang w:val="en-US" w:eastAsia="zh-CN"/>
              </w:rPr>
              <w:t>或</w:t>
            </w:r>
          </w:p>
          <w:p w14:paraId="5902B6D8">
            <w:pPr>
              <w:keepNext w:val="0"/>
              <w:keepLines w:val="0"/>
              <w:pageBreakBefore w:val="0"/>
              <w:widowControl w:val="0"/>
              <w:tabs>
                <w:tab w:val="left" w:pos="2835"/>
              </w:tabs>
              <w:kinsoku/>
              <w:wordWrap/>
              <w:overflowPunct/>
              <w:topLinePunct w:val="0"/>
              <w:autoSpaceDE/>
              <w:autoSpaceDN/>
              <w:bidi w:val="0"/>
              <w:adjustRightInd/>
              <w:snapToGrid/>
              <w:spacing w:line="360" w:lineRule="auto"/>
              <w:textAlignment w:val="auto"/>
              <w:rPr>
                <w:rFonts w:hint="default" w:ascii="宋体"/>
                <w:color w:val="auto"/>
                <w:sz w:val="24"/>
                <w:szCs w:val="24"/>
                <w:lang w:val="en-US" w:eastAsia="zh-CN"/>
              </w:rPr>
            </w:pPr>
            <w:r>
              <w:rPr>
                <w:rFonts w:hint="eastAsia" w:ascii="宋体"/>
                <w:color w:val="auto"/>
                <w:sz w:val="24"/>
                <w:szCs w:val="24"/>
                <w:lang w:val="en-US" w:eastAsia="zh-CN"/>
              </w:rPr>
              <w:t>委托代理人：</w:t>
            </w:r>
          </w:p>
          <w:p w14:paraId="5173DA4C">
            <w:pPr>
              <w:keepNext w:val="0"/>
              <w:keepLines w:val="0"/>
              <w:pageBreakBefore w:val="0"/>
              <w:widowControl w:val="0"/>
              <w:tabs>
                <w:tab w:val="left" w:pos="2835"/>
              </w:tabs>
              <w:kinsoku/>
              <w:wordWrap/>
              <w:overflowPunct/>
              <w:topLinePunct w:val="0"/>
              <w:autoSpaceDE/>
              <w:autoSpaceDN/>
              <w:bidi w:val="0"/>
              <w:adjustRightInd/>
              <w:snapToGrid/>
              <w:spacing w:line="360" w:lineRule="auto"/>
              <w:textAlignment w:val="auto"/>
              <w:rPr>
                <w:rFonts w:hint="eastAsia" w:ascii="宋体" w:eastAsia="宋体"/>
                <w:color w:val="auto"/>
                <w:sz w:val="24"/>
                <w:szCs w:val="24"/>
              </w:rPr>
            </w:pPr>
          </w:p>
          <w:p w14:paraId="68E212EE">
            <w:pPr>
              <w:keepNext w:val="0"/>
              <w:keepLines w:val="0"/>
              <w:pageBreakBefore w:val="0"/>
              <w:widowControl w:val="0"/>
              <w:tabs>
                <w:tab w:val="left" w:pos="2835"/>
              </w:tabs>
              <w:kinsoku/>
              <w:wordWrap/>
              <w:overflowPunct/>
              <w:topLinePunct w:val="0"/>
              <w:autoSpaceDE/>
              <w:autoSpaceDN/>
              <w:bidi w:val="0"/>
              <w:adjustRightInd/>
              <w:snapToGrid/>
              <w:spacing w:line="360" w:lineRule="auto"/>
              <w:textAlignment w:val="auto"/>
              <w:rPr>
                <w:rFonts w:hint="eastAsia" w:ascii="宋体" w:eastAsia="宋体"/>
                <w:color w:val="auto"/>
                <w:sz w:val="24"/>
                <w:szCs w:val="24"/>
              </w:rPr>
            </w:pPr>
            <w:r>
              <w:rPr>
                <w:rFonts w:hint="eastAsia" w:ascii="宋体" w:eastAsia="宋体"/>
                <w:color w:val="auto"/>
                <w:sz w:val="24"/>
                <w:szCs w:val="24"/>
              </w:rPr>
              <w:t>签约日期：       年    月    日</w:t>
            </w:r>
          </w:p>
          <w:p w14:paraId="63322D95">
            <w:pPr>
              <w:keepNext w:val="0"/>
              <w:keepLines w:val="0"/>
              <w:pageBreakBefore w:val="0"/>
              <w:widowControl w:val="0"/>
              <w:tabs>
                <w:tab w:val="left" w:pos="2835"/>
              </w:tabs>
              <w:kinsoku/>
              <w:wordWrap/>
              <w:overflowPunct/>
              <w:topLinePunct w:val="0"/>
              <w:autoSpaceDE/>
              <w:autoSpaceDN/>
              <w:bidi w:val="0"/>
              <w:adjustRightInd/>
              <w:snapToGrid/>
              <w:spacing w:line="360" w:lineRule="auto"/>
              <w:textAlignment w:val="auto"/>
              <w:rPr>
                <w:rFonts w:hint="eastAsia" w:ascii="宋体" w:eastAsia="宋体"/>
                <w:color w:val="auto"/>
                <w:sz w:val="24"/>
                <w:szCs w:val="24"/>
              </w:rPr>
            </w:pPr>
          </w:p>
        </w:tc>
        <w:tc>
          <w:tcPr>
            <w:tcW w:w="4261" w:type="dxa"/>
          </w:tcPr>
          <w:p w14:paraId="3DBFB54B">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olor w:val="auto"/>
                <w:sz w:val="24"/>
                <w:szCs w:val="24"/>
              </w:rPr>
            </w:pPr>
            <w:r>
              <w:rPr>
                <w:rFonts w:hint="eastAsia" w:ascii="宋体" w:eastAsia="宋体"/>
                <w:color w:val="auto"/>
                <w:sz w:val="24"/>
                <w:szCs w:val="24"/>
              </w:rPr>
              <w:t>乙方（章）：</w:t>
            </w:r>
          </w:p>
          <w:p w14:paraId="10F3A121">
            <w:pPr>
              <w:keepNext w:val="0"/>
              <w:keepLines w:val="0"/>
              <w:pageBreakBefore w:val="0"/>
              <w:widowControl w:val="0"/>
              <w:tabs>
                <w:tab w:val="left" w:pos="2835"/>
              </w:tabs>
              <w:kinsoku/>
              <w:wordWrap/>
              <w:overflowPunct/>
              <w:topLinePunct w:val="0"/>
              <w:autoSpaceDE/>
              <w:autoSpaceDN/>
              <w:bidi w:val="0"/>
              <w:adjustRightInd/>
              <w:snapToGrid/>
              <w:spacing w:line="360" w:lineRule="auto"/>
              <w:textAlignment w:val="auto"/>
              <w:rPr>
                <w:rFonts w:hint="eastAsia" w:ascii="宋体" w:eastAsia="宋体"/>
                <w:color w:val="auto"/>
                <w:sz w:val="24"/>
                <w:szCs w:val="24"/>
              </w:rPr>
            </w:pPr>
          </w:p>
          <w:p w14:paraId="18A86698">
            <w:pPr>
              <w:keepNext w:val="0"/>
              <w:keepLines w:val="0"/>
              <w:pageBreakBefore w:val="0"/>
              <w:widowControl w:val="0"/>
              <w:tabs>
                <w:tab w:val="left" w:pos="2835"/>
              </w:tabs>
              <w:kinsoku/>
              <w:wordWrap/>
              <w:overflowPunct/>
              <w:topLinePunct w:val="0"/>
              <w:autoSpaceDE/>
              <w:autoSpaceDN/>
              <w:bidi w:val="0"/>
              <w:adjustRightInd/>
              <w:snapToGrid/>
              <w:spacing w:line="360" w:lineRule="auto"/>
              <w:textAlignment w:val="auto"/>
              <w:rPr>
                <w:rFonts w:hint="eastAsia" w:ascii="宋体"/>
                <w:color w:val="auto"/>
                <w:sz w:val="24"/>
                <w:szCs w:val="24"/>
                <w:lang w:val="en-US" w:eastAsia="zh-CN"/>
              </w:rPr>
            </w:pPr>
            <w:r>
              <w:rPr>
                <w:rFonts w:hint="eastAsia" w:ascii="宋体" w:eastAsia="宋体"/>
                <w:color w:val="auto"/>
                <w:sz w:val="24"/>
                <w:szCs w:val="24"/>
              </w:rPr>
              <w:t>法定代表人</w:t>
            </w:r>
            <w:r>
              <w:rPr>
                <w:rFonts w:hint="eastAsia" w:ascii="宋体"/>
                <w:color w:val="auto"/>
                <w:sz w:val="24"/>
                <w:szCs w:val="24"/>
                <w:lang w:val="en-US" w:eastAsia="zh-CN"/>
              </w:rPr>
              <w:t>或</w:t>
            </w:r>
          </w:p>
          <w:p w14:paraId="737A5AEB">
            <w:pPr>
              <w:keepNext w:val="0"/>
              <w:keepLines w:val="0"/>
              <w:pageBreakBefore w:val="0"/>
              <w:widowControl w:val="0"/>
              <w:tabs>
                <w:tab w:val="left" w:pos="2835"/>
              </w:tabs>
              <w:kinsoku/>
              <w:wordWrap/>
              <w:overflowPunct/>
              <w:topLinePunct w:val="0"/>
              <w:autoSpaceDE/>
              <w:autoSpaceDN/>
              <w:bidi w:val="0"/>
              <w:adjustRightInd/>
              <w:snapToGrid/>
              <w:spacing w:line="360" w:lineRule="auto"/>
              <w:textAlignment w:val="auto"/>
              <w:rPr>
                <w:rFonts w:hint="eastAsia" w:ascii="宋体" w:eastAsia="宋体"/>
                <w:color w:val="auto"/>
                <w:sz w:val="24"/>
                <w:szCs w:val="24"/>
              </w:rPr>
            </w:pPr>
            <w:r>
              <w:rPr>
                <w:rFonts w:hint="eastAsia" w:ascii="宋体"/>
                <w:color w:val="auto"/>
                <w:sz w:val="24"/>
                <w:szCs w:val="24"/>
                <w:lang w:val="en-US" w:eastAsia="zh-CN"/>
              </w:rPr>
              <w:t>委托代理人：</w:t>
            </w:r>
          </w:p>
          <w:p w14:paraId="0E5F99FD">
            <w:pPr>
              <w:keepNext w:val="0"/>
              <w:keepLines w:val="0"/>
              <w:pageBreakBefore w:val="0"/>
              <w:widowControl w:val="0"/>
              <w:tabs>
                <w:tab w:val="left" w:pos="2835"/>
              </w:tabs>
              <w:kinsoku/>
              <w:wordWrap/>
              <w:overflowPunct/>
              <w:topLinePunct w:val="0"/>
              <w:autoSpaceDE/>
              <w:autoSpaceDN/>
              <w:bidi w:val="0"/>
              <w:adjustRightInd/>
              <w:snapToGrid/>
              <w:spacing w:line="360" w:lineRule="auto"/>
              <w:textAlignment w:val="auto"/>
              <w:rPr>
                <w:rFonts w:hint="eastAsia" w:ascii="宋体" w:eastAsia="宋体"/>
                <w:color w:val="auto"/>
                <w:sz w:val="24"/>
                <w:szCs w:val="24"/>
              </w:rPr>
            </w:pPr>
          </w:p>
          <w:p w14:paraId="054BDF64">
            <w:pPr>
              <w:keepNext w:val="0"/>
              <w:keepLines w:val="0"/>
              <w:pageBreakBefore w:val="0"/>
              <w:widowControl w:val="0"/>
              <w:tabs>
                <w:tab w:val="left" w:pos="2835"/>
              </w:tabs>
              <w:kinsoku/>
              <w:wordWrap/>
              <w:overflowPunct/>
              <w:topLinePunct w:val="0"/>
              <w:autoSpaceDE/>
              <w:autoSpaceDN/>
              <w:bidi w:val="0"/>
              <w:adjustRightInd/>
              <w:snapToGrid/>
              <w:spacing w:line="360" w:lineRule="auto"/>
              <w:textAlignment w:val="auto"/>
              <w:rPr>
                <w:rFonts w:hint="eastAsia" w:ascii="宋体" w:eastAsia="宋体"/>
                <w:color w:val="auto"/>
                <w:sz w:val="24"/>
                <w:szCs w:val="24"/>
              </w:rPr>
            </w:pPr>
          </w:p>
          <w:p w14:paraId="63339060">
            <w:pPr>
              <w:keepNext w:val="0"/>
              <w:keepLines w:val="0"/>
              <w:pageBreakBefore w:val="0"/>
              <w:widowControl w:val="0"/>
              <w:tabs>
                <w:tab w:val="left" w:pos="2835"/>
              </w:tabs>
              <w:kinsoku/>
              <w:wordWrap/>
              <w:overflowPunct/>
              <w:topLinePunct w:val="0"/>
              <w:autoSpaceDE/>
              <w:autoSpaceDN/>
              <w:bidi w:val="0"/>
              <w:adjustRightInd/>
              <w:snapToGrid/>
              <w:spacing w:line="360" w:lineRule="auto"/>
              <w:textAlignment w:val="auto"/>
              <w:rPr>
                <w:rFonts w:hint="eastAsia" w:ascii="宋体" w:eastAsia="宋体"/>
                <w:color w:val="auto"/>
                <w:sz w:val="24"/>
                <w:szCs w:val="24"/>
              </w:rPr>
            </w:pPr>
          </w:p>
          <w:p w14:paraId="01E09449">
            <w:pPr>
              <w:keepNext w:val="0"/>
              <w:keepLines w:val="0"/>
              <w:pageBreakBefore w:val="0"/>
              <w:widowControl w:val="0"/>
              <w:tabs>
                <w:tab w:val="left" w:pos="2835"/>
              </w:tabs>
              <w:kinsoku/>
              <w:wordWrap/>
              <w:overflowPunct/>
              <w:topLinePunct w:val="0"/>
              <w:autoSpaceDE/>
              <w:autoSpaceDN/>
              <w:bidi w:val="0"/>
              <w:adjustRightInd/>
              <w:snapToGrid/>
              <w:spacing w:line="360" w:lineRule="auto"/>
              <w:textAlignment w:val="auto"/>
              <w:rPr>
                <w:rFonts w:hint="eastAsia" w:ascii="宋体" w:eastAsia="宋体"/>
                <w:color w:val="auto"/>
                <w:sz w:val="24"/>
                <w:szCs w:val="24"/>
              </w:rPr>
            </w:pPr>
          </w:p>
        </w:tc>
      </w:tr>
    </w:tbl>
    <w:p w14:paraId="051CF141">
      <w:pPr>
        <w:keepNext w:val="0"/>
        <w:keepLines w:val="0"/>
        <w:pageBreakBefore w:val="0"/>
        <w:widowControl w:val="0"/>
        <w:kinsoku/>
        <w:wordWrap/>
        <w:overflowPunct/>
        <w:topLinePunct w:val="0"/>
        <w:autoSpaceDE/>
        <w:autoSpaceDN/>
        <w:bidi w:val="0"/>
        <w:spacing w:line="360" w:lineRule="auto"/>
        <w:textAlignment w:val="auto"/>
        <w:rPr>
          <w:rFonts w:eastAsia="宋体"/>
          <w:color w:val="auto"/>
          <w:kern w:val="0"/>
          <w:sz w:val="20"/>
          <w:szCs w:val="20"/>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doNotWrapTextWithPunct/>
    <w:doNotUseEastAsianBreakRules/>
    <w:growAutofit/>
    <w:useFELayout/>
    <w:doNotUseIndentAsNumberingTabStop/>
    <w:useAltKinsokuLineBreakRules/>
    <w:splitPgBreakAndParaMark/>
    <w:compatSetting w:name="compatibilityMode" w:uri="http://schemas.microsoft.com/office/word" w:val="14"/>
  </w:compat>
  <w:docVars>
    <w:docVar w:name="commondata" w:val="eyJoZGlkIjoiY2M1OTYyOWNkNzBmYmYyZjYwMjc0MzVmYTQ5Mjk2MTUifQ=="/>
  </w:docVars>
  <w:rsids>
    <w:rsidRoot w:val="00000000"/>
    <w:rsid w:val="005D4603"/>
    <w:rsid w:val="018502B5"/>
    <w:rsid w:val="018C0E54"/>
    <w:rsid w:val="02C60B85"/>
    <w:rsid w:val="03127926"/>
    <w:rsid w:val="03E47515"/>
    <w:rsid w:val="04133956"/>
    <w:rsid w:val="05C1475B"/>
    <w:rsid w:val="065B3392"/>
    <w:rsid w:val="06862B05"/>
    <w:rsid w:val="06E15F8D"/>
    <w:rsid w:val="08A7054D"/>
    <w:rsid w:val="09734E97"/>
    <w:rsid w:val="09A514F4"/>
    <w:rsid w:val="0B354AFA"/>
    <w:rsid w:val="0C28640C"/>
    <w:rsid w:val="0CEC568C"/>
    <w:rsid w:val="0CFD1647"/>
    <w:rsid w:val="0ED63EFE"/>
    <w:rsid w:val="0F8C6CB2"/>
    <w:rsid w:val="10563548"/>
    <w:rsid w:val="10895CD8"/>
    <w:rsid w:val="11AC7198"/>
    <w:rsid w:val="11E132E5"/>
    <w:rsid w:val="12CF75E2"/>
    <w:rsid w:val="1324792E"/>
    <w:rsid w:val="143F0797"/>
    <w:rsid w:val="14B44CE1"/>
    <w:rsid w:val="15A87CC5"/>
    <w:rsid w:val="167A1613"/>
    <w:rsid w:val="16B94831"/>
    <w:rsid w:val="17AA5F28"/>
    <w:rsid w:val="185B5474"/>
    <w:rsid w:val="18A706B9"/>
    <w:rsid w:val="1AE9320B"/>
    <w:rsid w:val="1B0A4A72"/>
    <w:rsid w:val="1B23671D"/>
    <w:rsid w:val="1BD712B5"/>
    <w:rsid w:val="1F0C74C8"/>
    <w:rsid w:val="1FB75686"/>
    <w:rsid w:val="1FBE4C66"/>
    <w:rsid w:val="211D2A6E"/>
    <w:rsid w:val="21236F43"/>
    <w:rsid w:val="215F4227"/>
    <w:rsid w:val="217F21D3"/>
    <w:rsid w:val="21A41C3A"/>
    <w:rsid w:val="21AD72C6"/>
    <w:rsid w:val="22372AAE"/>
    <w:rsid w:val="23005595"/>
    <w:rsid w:val="23C2284B"/>
    <w:rsid w:val="2522012E"/>
    <w:rsid w:val="255319AC"/>
    <w:rsid w:val="28377363"/>
    <w:rsid w:val="28CB3175"/>
    <w:rsid w:val="293D6BFB"/>
    <w:rsid w:val="2A7D74CC"/>
    <w:rsid w:val="2B696BA9"/>
    <w:rsid w:val="2B7E34FB"/>
    <w:rsid w:val="2BA54F2C"/>
    <w:rsid w:val="2C534988"/>
    <w:rsid w:val="2CBB4C21"/>
    <w:rsid w:val="2D0F4D53"/>
    <w:rsid w:val="2DE47F8D"/>
    <w:rsid w:val="2E306AA6"/>
    <w:rsid w:val="2ED0406E"/>
    <w:rsid w:val="2F0B154A"/>
    <w:rsid w:val="2FAB0637"/>
    <w:rsid w:val="2FE9188B"/>
    <w:rsid w:val="308433E1"/>
    <w:rsid w:val="31F6203D"/>
    <w:rsid w:val="3281224F"/>
    <w:rsid w:val="329F4483"/>
    <w:rsid w:val="33704071"/>
    <w:rsid w:val="339935C8"/>
    <w:rsid w:val="34B8182C"/>
    <w:rsid w:val="34CE2DFE"/>
    <w:rsid w:val="36941E25"/>
    <w:rsid w:val="36F86858"/>
    <w:rsid w:val="373158C6"/>
    <w:rsid w:val="38170F5F"/>
    <w:rsid w:val="388A1666"/>
    <w:rsid w:val="39167469"/>
    <w:rsid w:val="396B1563"/>
    <w:rsid w:val="39FA28E7"/>
    <w:rsid w:val="3A563FC1"/>
    <w:rsid w:val="3A914FF9"/>
    <w:rsid w:val="3AB216D0"/>
    <w:rsid w:val="3B7010B2"/>
    <w:rsid w:val="3BD57167"/>
    <w:rsid w:val="3C3A6FCB"/>
    <w:rsid w:val="3C746489"/>
    <w:rsid w:val="3D2C1009"/>
    <w:rsid w:val="3E5527E2"/>
    <w:rsid w:val="3F4A4676"/>
    <w:rsid w:val="3FF616FF"/>
    <w:rsid w:val="40774C91"/>
    <w:rsid w:val="40C45474"/>
    <w:rsid w:val="40C96B6F"/>
    <w:rsid w:val="40E045E4"/>
    <w:rsid w:val="414D154E"/>
    <w:rsid w:val="41D13F2D"/>
    <w:rsid w:val="425828A0"/>
    <w:rsid w:val="42764AD5"/>
    <w:rsid w:val="43CC52F4"/>
    <w:rsid w:val="43FE4D82"/>
    <w:rsid w:val="440305EA"/>
    <w:rsid w:val="444A7FC7"/>
    <w:rsid w:val="44901B3C"/>
    <w:rsid w:val="45A20B66"/>
    <w:rsid w:val="466730B2"/>
    <w:rsid w:val="46827EEC"/>
    <w:rsid w:val="47AA604F"/>
    <w:rsid w:val="48B620CF"/>
    <w:rsid w:val="48E7672C"/>
    <w:rsid w:val="49180694"/>
    <w:rsid w:val="49C56A6D"/>
    <w:rsid w:val="4AB56AE2"/>
    <w:rsid w:val="4D9E7067"/>
    <w:rsid w:val="4F561F16"/>
    <w:rsid w:val="52263E21"/>
    <w:rsid w:val="522672B5"/>
    <w:rsid w:val="52595FA5"/>
    <w:rsid w:val="533E1355"/>
    <w:rsid w:val="53FA34C3"/>
    <w:rsid w:val="548D63DA"/>
    <w:rsid w:val="54C824EF"/>
    <w:rsid w:val="5560589C"/>
    <w:rsid w:val="55E42029"/>
    <w:rsid w:val="56B424A4"/>
    <w:rsid w:val="58135162"/>
    <w:rsid w:val="583848AE"/>
    <w:rsid w:val="5AB50438"/>
    <w:rsid w:val="5AD3266C"/>
    <w:rsid w:val="5BEA4111"/>
    <w:rsid w:val="5C2C0286"/>
    <w:rsid w:val="5D3862BC"/>
    <w:rsid w:val="5D9205BD"/>
    <w:rsid w:val="5E1E00A2"/>
    <w:rsid w:val="5E8720EC"/>
    <w:rsid w:val="61F5736C"/>
    <w:rsid w:val="62E25B42"/>
    <w:rsid w:val="62E33669"/>
    <w:rsid w:val="635826D9"/>
    <w:rsid w:val="63A63014"/>
    <w:rsid w:val="63D95197"/>
    <w:rsid w:val="64F14763"/>
    <w:rsid w:val="64F44467"/>
    <w:rsid w:val="661B77C9"/>
    <w:rsid w:val="69CA13F4"/>
    <w:rsid w:val="6A753740"/>
    <w:rsid w:val="6AAB53B4"/>
    <w:rsid w:val="6C755C79"/>
    <w:rsid w:val="6CE801F9"/>
    <w:rsid w:val="6CF64069"/>
    <w:rsid w:val="6DAF1184"/>
    <w:rsid w:val="6E582CCB"/>
    <w:rsid w:val="6E5F1961"/>
    <w:rsid w:val="6F3E2352"/>
    <w:rsid w:val="707B1384"/>
    <w:rsid w:val="70DC2CA6"/>
    <w:rsid w:val="70F51137"/>
    <w:rsid w:val="712437CA"/>
    <w:rsid w:val="7135283F"/>
    <w:rsid w:val="71445C1A"/>
    <w:rsid w:val="71871A0A"/>
    <w:rsid w:val="71EA0570"/>
    <w:rsid w:val="721750DD"/>
    <w:rsid w:val="73591E51"/>
    <w:rsid w:val="738B18DE"/>
    <w:rsid w:val="739E7864"/>
    <w:rsid w:val="73EF21A4"/>
    <w:rsid w:val="741D2E7E"/>
    <w:rsid w:val="742B12F0"/>
    <w:rsid w:val="745148D6"/>
    <w:rsid w:val="75616D9B"/>
    <w:rsid w:val="75EF084A"/>
    <w:rsid w:val="769A7028"/>
    <w:rsid w:val="7847671C"/>
    <w:rsid w:val="798832C4"/>
    <w:rsid w:val="7B997BCB"/>
    <w:rsid w:val="7BB37C24"/>
    <w:rsid w:val="7BCC0CE6"/>
    <w:rsid w:val="7CA65680"/>
    <w:rsid w:val="7CC3658D"/>
    <w:rsid w:val="7F50368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style>
  <w:style w:type="paragraph" w:styleId="4">
    <w:name w:val="annotation text"/>
    <w:basedOn w:val="1"/>
    <w:qFormat/>
    <w:uiPriority w:val="0"/>
    <w:pPr>
      <w:jc w:val="left"/>
    </w:pPr>
  </w:style>
  <w:style w:type="paragraph" w:styleId="5">
    <w:name w:val="Balloon Text"/>
    <w:basedOn w:val="1"/>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HTML Preformatted"/>
    <w:basedOn w:val="1"/>
    <w:semiHidden/>
    <w:qFormat/>
    <w:uiPriority w:val="0"/>
    <w:pPr>
      <w:widowControl/>
      <w:spacing w:line="375" w:lineRule="atLeast"/>
      <w:jc w:val="left"/>
    </w:pPr>
    <w:rPr>
      <w:rFonts w:ascii="Arial" w:hAnsi="Arial" w:cs="Arial"/>
      <w:kern w:val="0"/>
      <w:szCs w:val="21"/>
    </w:rPr>
  </w:style>
  <w:style w:type="paragraph" w:styleId="9">
    <w:name w:val="annotation subject"/>
    <w:basedOn w:val="4"/>
    <w:next w:val="4"/>
    <w:qFormat/>
    <w:uiPriority w:val="0"/>
    <w:rPr>
      <w:b/>
      <w:bCs/>
    </w:rPr>
  </w:style>
  <w:style w:type="character" w:styleId="12">
    <w:name w:val="Strong"/>
    <w:basedOn w:val="11"/>
    <w:qFormat/>
    <w:uiPriority w:val="0"/>
    <w:rPr>
      <w:b/>
    </w:rPr>
  </w:style>
  <w:style w:type="character" w:styleId="13">
    <w:name w:val="annotation reference"/>
    <w:basedOn w:val="11"/>
    <w:qFormat/>
    <w:uiPriority w:val="0"/>
    <w:rPr>
      <w:sz w:val="21"/>
      <w:szCs w:val="21"/>
    </w:rPr>
  </w:style>
  <w:style w:type="paragraph" w:customStyle="1" w:styleId="14">
    <w:name w:val="Table Text"/>
    <w:basedOn w:val="1"/>
    <w:semiHidden/>
    <w:qFormat/>
    <w:uiPriority w:val="0"/>
    <w:rPr>
      <w:rFonts w:ascii="宋体" w:hAnsi="宋体" w:eastAsia="宋体" w:cs="宋体"/>
      <w:sz w:val="16"/>
      <w:szCs w:val="16"/>
      <w:lang w:val="en-US" w:eastAsia="en-US" w:bidi="ar-SA"/>
    </w:rPr>
  </w:style>
  <w:style w:type="table" w:customStyle="1" w:styleId="1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Company>微软中国</Company>
  <Pages>4</Pages>
  <Words>2376</Words>
  <Characters>2405</Characters>
  <Lines>1</Lines>
  <Paragraphs>0</Paragraphs>
  <TotalTime>12</TotalTime>
  <ScaleCrop>false</ScaleCrop>
  <LinksUpToDate>false</LinksUpToDate>
  <CharactersWithSpaces>2478</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2018-06-25T06:24:00Z</dcterms:created>
  <dc:creator>C089</dc:creator>
  <cp:lastModifiedBy>开心就好</cp:lastModifiedBy>
  <cp:lastPrinted>2025-02-08T01:09:53Z</cp:lastPrinted>
  <dcterms:modified xsi:type="dcterms:W3CDTF">2025-02-08T03:18:19Z</dcterms:modified>
  <dc:title>销售合同</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55F39B3A9F80439883F0DC368B4497A6_13</vt:lpwstr>
  </property>
  <property fmtid="{D5CDD505-2E9C-101B-9397-08002B2CF9AE}" pid="4" name="KSOTemplateDocerSaveRecord">
    <vt:lpwstr>eyJoZGlkIjoiY2M1OTYyOWNkNzBmYmYyZjYwMjc0MzVmYTQ5Mjk2MTUiLCJ1c2VySWQiOiI2MTI0ODA0MzIifQ==</vt:lpwstr>
  </property>
</Properties>
</file>